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0A7C" w14:textId="6193BF53" w:rsidR="003B0C2B" w:rsidRPr="002B3B12" w:rsidRDefault="003B0C2B" w:rsidP="003B0C2B">
      <w:pPr>
        <w:jc w:val="center"/>
        <w:rPr>
          <w:rFonts w:ascii="Calibri" w:hAnsi="Calibri" w:cs="Calibri"/>
          <w:b/>
          <w:sz w:val="26"/>
          <w:szCs w:val="26"/>
        </w:rPr>
      </w:pPr>
      <w:r w:rsidRPr="002B3B12">
        <w:rPr>
          <w:rFonts w:ascii="Calibri" w:hAnsi="Calibri" w:cs="Calibri"/>
          <w:b/>
          <w:sz w:val="26"/>
          <w:szCs w:val="26"/>
        </w:rPr>
        <w:t xml:space="preserve">ANEXO </w:t>
      </w:r>
      <w:r w:rsidR="00E25E1D" w:rsidRPr="002B3B12">
        <w:rPr>
          <w:rFonts w:ascii="Calibri" w:hAnsi="Calibri" w:cs="Calibri"/>
          <w:b/>
          <w:sz w:val="26"/>
          <w:szCs w:val="26"/>
        </w:rPr>
        <w:t>V</w:t>
      </w:r>
      <w:r w:rsidR="00F56B85" w:rsidRPr="002B3B12">
        <w:rPr>
          <w:rFonts w:ascii="Calibri" w:hAnsi="Calibri" w:cs="Calibri"/>
          <w:b/>
          <w:sz w:val="26"/>
          <w:szCs w:val="26"/>
        </w:rPr>
        <w:t>I</w:t>
      </w:r>
    </w:p>
    <w:p w14:paraId="0D7C1649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5FDD70CD" w14:textId="15848E66" w:rsidR="00BB07C4" w:rsidRDefault="003B0C2B" w:rsidP="00E25E1D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“Imprimir em papel timbrado da empresa”</w:t>
      </w:r>
    </w:p>
    <w:p w14:paraId="1957905C" w14:textId="77777777" w:rsidR="00E25E1D" w:rsidRPr="000C5495" w:rsidRDefault="00E25E1D" w:rsidP="00E25E1D">
      <w:pPr>
        <w:jc w:val="center"/>
        <w:rPr>
          <w:rFonts w:ascii="Calibri" w:hAnsi="Calibri" w:cs="Calibri"/>
        </w:rPr>
      </w:pPr>
    </w:p>
    <w:p w14:paraId="68F68363" w14:textId="42D0BDC3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</w:rPr>
      </w:pPr>
      <w:r w:rsidRPr="00E25E1D">
        <w:rPr>
          <w:rFonts w:asciiTheme="minorHAnsi" w:hAnsiTheme="minorHAnsi" w:cs="Times New Roman"/>
          <w:b/>
        </w:rPr>
        <w:t xml:space="preserve"> (MODELO) </w:t>
      </w:r>
    </w:p>
    <w:p w14:paraId="541B49CD" w14:textId="77777777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  <w:u w:val="single"/>
        </w:rPr>
      </w:pPr>
      <w:r w:rsidRPr="00E25E1D">
        <w:rPr>
          <w:rFonts w:asciiTheme="minorHAnsi" w:hAnsiTheme="minorHAnsi" w:cs="Times New Roman"/>
          <w:b/>
          <w:u w:val="single"/>
        </w:rPr>
        <w:t>ANÁLISE ECONÔMICO-FINANCEIRA</w:t>
      </w:r>
    </w:p>
    <w:p w14:paraId="35EB1956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/>
        </w:rPr>
      </w:pPr>
    </w:p>
    <w:p w14:paraId="1737C63F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 situação financeira das licitantes será aferida por meio dos índices de:  ILG = ÍNDICE DE LIQUIDEZ GERAL, ISG = ÍNDICE DE SOLVÊNCIA GERAL e ILC = ÍNDICE DE LIQUIDEZ CORRENTE.</w:t>
      </w:r>
    </w:p>
    <w:p w14:paraId="51BD15BC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</w:p>
    <w:p w14:paraId="5DF7A5A3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ILG = (AC + RLP) / (PC + ELP) = X</w:t>
      </w:r>
    </w:p>
    <w:p w14:paraId="009A3DFA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ILG = ÍNDICE DE LIQUIDEZ GERAL</w:t>
      </w:r>
    </w:p>
    <w:p w14:paraId="3848588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AC = Ativo Circulante</w:t>
      </w:r>
    </w:p>
    <w:p w14:paraId="4A79933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RLP = Realizável à Longo Prazo</w:t>
      </w:r>
    </w:p>
    <w:p w14:paraId="35120F5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10E3F67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ELP = Exigível à Longo Prazo</w:t>
      </w:r>
    </w:p>
    <w:p w14:paraId="147410D9" w14:textId="77777777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</w:p>
    <w:p w14:paraId="43B71CD7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ISG = AT / (PC + ELP) = X</w:t>
      </w:r>
    </w:p>
    <w:p w14:paraId="62DA2CE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ISG = ÍNDICE DE SOLVÊNCIA GERAL</w:t>
      </w:r>
    </w:p>
    <w:p w14:paraId="66FABBF1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AT = Ativo Total</w:t>
      </w:r>
    </w:p>
    <w:p w14:paraId="3C08F4B4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3EA0634D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ELP = Exigível à Longo Prazo </w:t>
      </w:r>
    </w:p>
    <w:p w14:paraId="2A0E4682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</w:p>
    <w:p w14:paraId="00B3B249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ILC = AC / PC = X</w:t>
      </w:r>
    </w:p>
    <w:p w14:paraId="08CB51D2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ILC = ÍNDICE DE LIQUIDEZ CORRENTE</w:t>
      </w:r>
    </w:p>
    <w:p w14:paraId="7B0E9AB6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AC = Ativo Circulante</w:t>
      </w:r>
    </w:p>
    <w:p w14:paraId="7A523103" w14:textId="77777777" w:rsidR="00E25E1D" w:rsidRPr="00E25E1D" w:rsidRDefault="00E25E1D" w:rsidP="00E25E1D">
      <w:pPr>
        <w:tabs>
          <w:tab w:val="left" w:pos="426"/>
        </w:tabs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3E2F301C" w14:textId="77777777" w:rsidR="00E25E1D" w:rsidRPr="00E25E1D" w:rsidRDefault="00E25E1D" w:rsidP="00E25E1D">
      <w:pPr>
        <w:tabs>
          <w:tab w:val="left" w:pos="426"/>
        </w:tabs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33556AEE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Os índices calculados, obrigatoriamente, acompanharão as demonstrações contábeis, sendo consideradas habilitadas as empresas que apresentarem os seguintes resultados: </w:t>
      </w:r>
    </w:p>
    <w:p w14:paraId="6EF3EE3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1F07D329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Liquidez Geral (ILG) = índice maior ou igual a 1,00. </w:t>
      </w:r>
    </w:p>
    <w:p w14:paraId="0A3C9182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Solvência Geral (ISG) = índice maior ou igual a 1,00.</w:t>
      </w:r>
    </w:p>
    <w:p w14:paraId="5A4EC186" w14:textId="5D0CBD2D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Liquidez Corrente (ILC) = índice maior ou igual a 1,00. </w:t>
      </w:r>
    </w:p>
    <w:p w14:paraId="1A631B8E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6724E34F" w14:textId="4CC2514C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__________________________________</w:t>
      </w:r>
    </w:p>
    <w:p w14:paraId="3A67423F" w14:textId="346D1A0E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(contador)</w:t>
      </w:r>
    </w:p>
    <w:p w14:paraId="7AE83C8B" w14:textId="588D5D22" w:rsidR="002971A7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E25E1D">
        <w:rPr>
          <w:rFonts w:asciiTheme="minorHAnsi" w:hAnsiTheme="minorHAnsi" w:cs="Times New Roman"/>
          <w:b/>
          <w:sz w:val="20"/>
          <w:szCs w:val="20"/>
        </w:rPr>
        <w:t>OBS: O DOCUMENTO DEVERÁ CONTER A ASSINATURA DO CONTADOR.</w:t>
      </w:r>
    </w:p>
    <w:sectPr w:rsidR="002971A7" w:rsidRPr="00E25E1D" w:rsidSect="00E25E1D">
      <w:headerReference w:type="default" r:id="rId7"/>
      <w:footerReference w:type="default" r:id="rId8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50FB8"/>
    <w:rsid w:val="0020145C"/>
    <w:rsid w:val="002971A7"/>
    <w:rsid w:val="002B3B12"/>
    <w:rsid w:val="003B0C2B"/>
    <w:rsid w:val="003C2589"/>
    <w:rsid w:val="004C32E0"/>
    <w:rsid w:val="006666A0"/>
    <w:rsid w:val="007405AE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E25E1D"/>
    <w:rsid w:val="00F5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Renata Valéria Bernardino Lira Alves</cp:lastModifiedBy>
  <cp:revision>3</cp:revision>
  <dcterms:created xsi:type="dcterms:W3CDTF">2023-08-29T19:50:00Z</dcterms:created>
  <dcterms:modified xsi:type="dcterms:W3CDTF">2023-09-04T19:06:00Z</dcterms:modified>
</cp:coreProperties>
</file>