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67835EC2" w14:textId="77777777" w:rsidR="00DA6AEB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</w:p>
          <w:p w14:paraId="1C6CBF79" w14:textId="77777777" w:rsid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  <w:p w14:paraId="4C0A42C9" w14:textId="35D7372E" w:rsidR="00DA6AEB" w:rsidRPr="00D52430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1" w:type="dxa"/>
            <w:hideMark/>
          </w:tcPr>
          <w:p w14:paraId="251D02F2" w14:textId="77777777" w:rsidR="00DA6AEB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B0EF3A" w14:textId="12FA3DAE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4F81FBF6" w14:textId="77777777" w:rsidR="00DA6AEB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D649E7" w14:textId="6506C35F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06DC0339" w14:textId="77777777" w:rsidR="00DA6AEB" w:rsidRDefault="00DA6AEB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DE07D8" w14:textId="48ABEE26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24AA5821" w14:textId="77777777" w:rsidR="00DA6AEB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EBAD5" w14:textId="417445E6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48ECB427" w14:textId="77777777" w:rsidR="00DA6AEB" w:rsidRDefault="00DA6AEB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D3179" w14:textId="3603C015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7F26CB" w:rsidRPr="004B291E" w14:paraId="331EFD22" w14:textId="20AF9193" w:rsidTr="00DA6AEB">
        <w:trPr>
          <w:trHeight w:val="907"/>
        </w:trPr>
        <w:tc>
          <w:tcPr>
            <w:tcW w:w="789" w:type="dxa"/>
            <w:vAlign w:val="center"/>
            <w:hideMark/>
          </w:tcPr>
          <w:p w14:paraId="117E39B2" w14:textId="3D949227" w:rsidR="007F26CB" w:rsidRPr="004B291E" w:rsidRDefault="007F26CB" w:rsidP="007F26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24D49D33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b/>
                <w:bCs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Absorvente Higiênico feminino, com Abas - pacote com 8 unidades. Na embalagem deverá constar a data da fabricação, a data de validade.</w:t>
            </w:r>
          </w:p>
        </w:tc>
        <w:tc>
          <w:tcPr>
            <w:tcW w:w="1427" w:type="dxa"/>
            <w:vAlign w:val="center"/>
            <w:hideMark/>
          </w:tcPr>
          <w:p w14:paraId="44AA4DEC" w14:textId="6E57ED1D" w:rsidR="007F26CB" w:rsidRPr="00285413" w:rsidRDefault="007F26CB" w:rsidP="007F26C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5EAE6946" w:rsidR="007F26CB" w:rsidRPr="00B30EA8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180</w:t>
            </w:r>
          </w:p>
        </w:tc>
        <w:tc>
          <w:tcPr>
            <w:tcW w:w="1843" w:type="dxa"/>
          </w:tcPr>
          <w:p w14:paraId="4FF94D65" w14:textId="0AC49129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6A8E997A" w14:textId="77777777" w:rsidTr="00DA6AEB">
        <w:trPr>
          <w:trHeight w:val="835"/>
        </w:trPr>
        <w:tc>
          <w:tcPr>
            <w:tcW w:w="789" w:type="dxa"/>
            <w:vAlign w:val="center"/>
          </w:tcPr>
          <w:p w14:paraId="4124D3C8" w14:textId="5E412E96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0064067B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Algodão, cor branca, boa absorvência, caixa com 100g, Embalagem individual que contenha externamente dados de rotulagem.</w:t>
            </w:r>
          </w:p>
        </w:tc>
        <w:tc>
          <w:tcPr>
            <w:tcW w:w="1427" w:type="dxa"/>
            <w:vAlign w:val="center"/>
          </w:tcPr>
          <w:p w14:paraId="1731B2D2" w14:textId="5B23C648" w:rsidR="007F26CB" w:rsidRPr="00285413" w:rsidRDefault="007F26CB" w:rsidP="007F26C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2AA0EE62" w:rsidR="007F26CB" w:rsidRPr="00D52430" w:rsidRDefault="007F26CB" w:rsidP="007F26C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240</w:t>
            </w:r>
          </w:p>
        </w:tc>
        <w:tc>
          <w:tcPr>
            <w:tcW w:w="1843" w:type="dxa"/>
          </w:tcPr>
          <w:p w14:paraId="3EDB1CC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34ECF05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74996CF1" w14:textId="62889A9D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3736B19E" w:rsidR="007F26CB" w:rsidRPr="008E148A" w:rsidRDefault="007F26CB" w:rsidP="007F26CB">
            <w:pPr>
              <w:jc w:val="both"/>
              <w:rPr>
                <w:rFonts w:ascii="Arial" w:hAnsi="Arial" w:cs="Arial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Aparelho de barbear, tipo descartável, com 02 (duas) lâminas de aço, cabo plástico, anatômico.</w:t>
            </w:r>
          </w:p>
        </w:tc>
        <w:tc>
          <w:tcPr>
            <w:tcW w:w="1427" w:type="dxa"/>
            <w:vAlign w:val="center"/>
          </w:tcPr>
          <w:p w14:paraId="29B5278E" w14:textId="50467A74" w:rsidR="007F26CB" w:rsidRPr="00285413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0AF81E16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1080</w:t>
            </w:r>
          </w:p>
        </w:tc>
        <w:tc>
          <w:tcPr>
            <w:tcW w:w="1843" w:type="dxa"/>
          </w:tcPr>
          <w:p w14:paraId="19BE0DD2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FBD4E1C" w14:textId="77777777" w:rsidTr="00DA6AEB">
        <w:trPr>
          <w:trHeight w:val="574"/>
        </w:trPr>
        <w:tc>
          <w:tcPr>
            <w:tcW w:w="789" w:type="dxa"/>
            <w:vAlign w:val="center"/>
          </w:tcPr>
          <w:p w14:paraId="01ECE129" w14:textId="7E6A4AFE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2CC8C479" w:rsidR="007F26CB" w:rsidRPr="008E148A" w:rsidRDefault="007F26CB" w:rsidP="007F26CB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Condicionador adulto frasco com 500 ml, para todos os tipos de cabelo, uso adulto.</w:t>
            </w:r>
          </w:p>
        </w:tc>
        <w:tc>
          <w:tcPr>
            <w:tcW w:w="1427" w:type="dxa"/>
            <w:vAlign w:val="center"/>
          </w:tcPr>
          <w:p w14:paraId="020044F9" w14:textId="1C0A3041" w:rsidR="007F26CB" w:rsidRPr="00285413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5F62BBD4" w14:textId="24510438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648</w:t>
            </w:r>
          </w:p>
        </w:tc>
        <w:tc>
          <w:tcPr>
            <w:tcW w:w="1843" w:type="dxa"/>
          </w:tcPr>
          <w:p w14:paraId="69CC96C5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18E7183C" w14:textId="77777777" w:rsidTr="00DA6AEB">
        <w:trPr>
          <w:trHeight w:val="1262"/>
        </w:trPr>
        <w:tc>
          <w:tcPr>
            <w:tcW w:w="789" w:type="dxa"/>
            <w:vAlign w:val="center"/>
          </w:tcPr>
          <w:p w14:paraId="056E41DE" w14:textId="6459973E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28784B29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>Condicionador infantil: desenvolvido para condicionar e desembaraçar suavemente os cabelos do bebê, que não irrite os olhos nem a pele; sem álcool; frasco com 200 a 350 ml. Validade mínima de 06 (seis) meses após a data de entrega.</w:t>
            </w:r>
          </w:p>
        </w:tc>
        <w:tc>
          <w:tcPr>
            <w:tcW w:w="1427" w:type="dxa"/>
            <w:vAlign w:val="center"/>
          </w:tcPr>
          <w:p w14:paraId="74C12E33" w14:textId="22006C9A" w:rsidR="007F26CB" w:rsidRPr="00285413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32166286" w14:textId="61BBFE19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36</w:t>
            </w:r>
          </w:p>
        </w:tc>
        <w:tc>
          <w:tcPr>
            <w:tcW w:w="1843" w:type="dxa"/>
          </w:tcPr>
          <w:p w14:paraId="1FCE7C3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6226E03" w14:textId="77777777" w:rsidTr="00DA6AEB">
        <w:trPr>
          <w:trHeight w:val="841"/>
        </w:trPr>
        <w:tc>
          <w:tcPr>
            <w:tcW w:w="789" w:type="dxa"/>
            <w:vAlign w:val="center"/>
          </w:tcPr>
          <w:p w14:paraId="02893D1D" w14:textId="6FBCB758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2F50" w14:textId="4AACA877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Creme Dental - Peso 90g. Na embalagem deverá constar a data da fabricação, a data de validade.</w:t>
            </w:r>
          </w:p>
        </w:tc>
        <w:tc>
          <w:tcPr>
            <w:tcW w:w="1427" w:type="dxa"/>
            <w:vAlign w:val="center"/>
          </w:tcPr>
          <w:p w14:paraId="49F60F98" w14:textId="56B98DD3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7FC10A8A" w14:textId="5AEBAB70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264</w:t>
            </w:r>
          </w:p>
        </w:tc>
        <w:tc>
          <w:tcPr>
            <w:tcW w:w="1843" w:type="dxa"/>
          </w:tcPr>
          <w:p w14:paraId="2BBE458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ED79D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53F6D035" w14:textId="77777777" w:rsidTr="008E148A">
        <w:trPr>
          <w:trHeight w:val="1550"/>
        </w:trPr>
        <w:tc>
          <w:tcPr>
            <w:tcW w:w="789" w:type="dxa"/>
            <w:vAlign w:val="center"/>
          </w:tcPr>
          <w:p w14:paraId="31E349F9" w14:textId="50E881D3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A9F9" w14:textId="73B02BC1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 xml:space="preserve">Loção Hidratante para bebê, livre de corante e </w:t>
            </w:r>
            <w:proofErr w:type="spellStart"/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parabenos</w:t>
            </w:r>
            <w:proofErr w:type="spellEnd"/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 xml:space="preserve">, </w:t>
            </w:r>
            <w:proofErr w:type="spellStart"/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hipoalergênico</w:t>
            </w:r>
            <w:proofErr w:type="spellEnd"/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 xml:space="preserve">, dermatologicamente testado – frasco com 200ml  </w:t>
            </w:r>
          </w:p>
        </w:tc>
        <w:tc>
          <w:tcPr>
            <w:tcW w:w="1427" w:type="dxa"/>
            <w:vAlign w:val="center"/>
          </w:tcPr>
          <w:p w14:paraId="5D1AB176" w14:textId="6D3A4B45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6416ED62" w14:textId="27EDC5DA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36</w:t>
            </w:r>
          </w:p>
        </w:tc>
        <w:tc>
          <w:tcPr>
            <w:tcW w:w="1843" w:type="dxa"/>
          </w:tcPr>
          <w:p w14:paraId="5E9DA98F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EAE6F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0B59F2A" w14:textId="77777777" w:rsidTr="00DA6AEB">
        <w:trPr>
          <w:trHeight w:val="897"/>
        </w:trPr>
        <w:tc>
          <w:tcPr>
            <w:tcW w:w="789" w:type="dxa"/>
            <w:vAlign w:val="center"/>
          </w:tcPr>
          <w:p w14:paraId="3E9E7312" w14:textId="1B312C0C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lastRenderedPageBreak/>
              <w:t>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5001" w14:textId="29057B49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Creme para pentear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desembaraçante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, sem enxague, testado dermatologicamente, com Bico Dosador acondicionado em frascos com no mínimo 300ml.</w:t>
            </w:r>
          </w:p>
        </w:tc>
        <w:tc>
          <w:tcPr>
            <w:tcW w:w="1427" w:type="dxa"/>
            <w:vAlign w:val="center"/>
          </w:tcPr>
          <w:p w14:paraId="305727BB" w14:textId="4F02B195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1A9C03F5" w14:textId="44884CBB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192</w:t>
            </w:r>
          </w:p>
        </w:tc>
        <w:tc>
          <w:tcPr>
            <w:tcW w:w="1843" w:type="dxa"/>
          </w:tcPr>
          <w:p w14:paraId="6E508B5E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F8C49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7B4C5E68" w14:textId="77777777" w:rsidTr="00DA6AEB">
        <w:trPr>
          <w:trHeight w:val="994"/>
        </w:trPr>
        <w:tc>
          <w:tcPr>
            <w:tcW w:w="789" w:type="dxa"/>
            <w:vAlign w:val="center"/>
          </w:tcPr>
          <w:p w14:paraId="12A7F583" w14:textId="2DFAE411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9B" w14:textId="7E2E4EBE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Desodorante aerossol frasco de 150 ml, testado dermatologicamente, cheiro neutro, deverá constar data de fabricação e data de validade. </w:t>
            </w:r>
          </w:p>
        </w:tc>
        <w:tc>
          <w:tcPr>
            <w:tcW w:w="1427" w:type="dxa"/>
            <w:vAlign w:val="center"/>
          </w:tcPr>
          <w:p w14:paraId="34E747EF" w14:textId="7A893322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7BF6063" w14:textId="2A3B03A6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756</w:t>
            </w:r>
          </w:p>
        </w:tc>
        <w:tc>
          <w:tcPr>
            <w:tcW w:w="1843" w:type="dxa"/>
          </w:tcPr>
          <w:p w14:paraId="73E17128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EF867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17E3F1BF" w14:textId="77777777" w:rsidTr="00DA6AEB">
        <w:trPr>
          <w:trHeight w:val="1122"/>
        </w:trPr>
        <w:tc>
          <w:tcPr>
            <w:tcW w:w="789" w:type="dxa"/>
            <w:vAlign w:val="center"/>
          </w:tcPr>
          <w:p w14:paraId="3BCEB790" w14:textId="06F2557F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EBDA" w14:textId="11E03A58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Desodorante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antitranspirante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-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roll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on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, unissex, sem cheiro 44ml. Na embalagem deverá constar a data da fabricação, data e validade.</w:t>
            </w:r>
          </w:p>
        </w:tc>
        <w:tc>
          <w:tcPr>
            <w:tcW w:w="1427" w:type="dxa"/>
            <w:vAlign w:val="center"/>
          </w:tcPr>
          <w:p w14:paraId="2EB8CA2F" w14:textId="5C2EC091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02314B90" w14:textId="3D8498F8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648</w:t>
            </w:r>
          </w:p>
        </w:tc>
        <w:tc>
          <w:tcPr>
            <w:tcW w:w="1843" w:type="dxa"/>
          </w:tcPr>
          <w:p w14:paraId="382C88AA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3A1D3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6A6A07AA" w14:textId="77777777" w:rsidTr="00F44C1D">
        <w:trPr>
          <w:trHeight w:val="700"/>
        </w:trPr>
        <w:tc>
          <w:tcPr>
            <w:tcW w:w="789" w:type="dxa"/>
            <w:vAlign w:val="center"/>
          </w:tcPr>
          <w:p w14:paraId="613476E2" w14:textId="02D3497B" w:rsidR="007F26CB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95CB" w14:textId="2752EE5A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Escova de dente com dimensões aproximadas de comprimento 21.3 x largura 5.3 x altura 2.5 em centímetros. Cerdas tipo macia. Cor variada.</w:t>
            </w:r>
          </w:p>
        </w:tc>
        <w:tc>
          <w:tcPr>
            <w:tcW w:w="1427" w:type="dxa"/>
            <w:vAlign w:val="center"/>
          </w:tcPr>
          <w:p w14:paraId="019C507C" w14:textId="62AB81A2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4C86050" w14:textId="510138B2" w:rsidR="007F26CB" w:rsidRDefault="007F26CB" w:rsidP="007F26CB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936</w:t>
            </w:r>
          </w:p>
        </w:tc>
        <w:tc>
          <w:tcPr>
            <w:tcW w:w="1843" w:type="dxa"/>
          </w:tcPr>
          <w:p w14:paraId="7623D0E6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20C2D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3B232C2F" w14:textId="77777777" w:rsidTr="00DA6AEB">
        <w:trPr>
          <w:trHeight w:val="979"/>
        </w:trPr>
        <w:tc>
          <w:tcPr>
            <w:tcW w:w="789" w:type="dxa"/>
            <w:vAlign w:val="center"/>
          </w:tcPr>
          <w:p w14:paraId="653C3035" w14:textId="1F538509" w:rsidR="007F26CB" w:rsidRPr="00691B31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25804" w14:textId="060D6F2E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Esponja de celulose vegetal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esfoliante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de formato anatômico e de ótima durabilidade</w:t>
            </w:r>
          </w:p>
        </w:tc>
        <w:tc>
          <w:tcPr>
            <w:tcW w:w="1427" w:type="dxa"/>
            <w:vAlign w:val="center"/>
          </w:tcPr>
          <w:p w14:paraId="47C76778" w14:textId="1A31D702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47D95483" w14:textId="22C16A88" w:rsidR="007F26CB" w:rsidRDefault="007F26CB" w:rsidP="007F26CB">
            <w:pPr>
              <w:spacing w:line="360" w:lineRule="auto"/>
              <w:jc w:val="center"/>
              <w:rPr>
                <w:color w:val="00000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180</w:t>
            </w:r>
          </w:p>
        </w:tc>
        <w:tc>
          <w:tcPr>
            <w:tcW w:w="1843" w:type="dxa"/>
          </w:tcPr>
          <w:p w14:paraId="778C1155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81F1B9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5C763DF8" w14:textId="77777777" w:rsidTr="00DA6AEB">
        <w:trPr>
          <w:trHeight w:val="837"/>
        </w:trPr>
        <w:tc>
          <w:tcPr>
            <w:tcW w:w="789" w:type="dxa"/>
            <w:vAlign w:val="center"/>
          </w:tcPr>
          <w:p w14:paraId="6AE759D2" w14:textId="0B06E53E" w:rsidR="007F26CB" w:rsidRPr="00691B31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DC76C" w14:textId="585AE9ED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Esponja para banho de composição: Polietileno 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poliestireno.Medidas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aproximadas da esponja: 21cm de largura x 22cm de comprimento.</w:t>
            </w:r>
          </w:p>
        </w:tc>
        <w:tc>
          <w:tcPr>
            <w:tcW w:w="1427" w:type="dxa"/>
            <w:vAlign w:val="center"/>
          </w:tcPr>
          <w:p w14:paraId="36885712" w14:textId="214EDC0F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7812967" w14:textId="2D36E0DF" w:rsidR="007F26CB" w:rsidRDefault="007F26CB" w:rsidP="007F26CB">
            <w:pPr>
              <w:spacing w:line="360" w:lineRule="auto"/>
              <w:jc w:val="center"/>
              <w:rPr>
                <w:color w:val="00000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288</w:t>
            </w:r>
          </w:p>
        </w:tc>
        <w:tc>
          <w:tcPr>
            <w:tcW w:w="1843" w:type="dxa"/>
          </w:tcPr>
          <w:p w14:paraId="211E226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1B4016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0223F6F0" w14:textId="77777777" w:rsidTr="00DA6AEB">
        <w:trPr>
          <w:trHeight w:val="756"/>
        </w:trPr>
        <w:tc>
          <w:tcPr>
            <w:tcW w:w="789" w:type="dxa"/>
            <w:vAlign w:val="center"/>
          </w:tcPr>
          <w:p w14:paraId="03FFE7CB" w14:textId="7A7EE867" w:rsidR="007F26CB" w:rsidRPr="00691B31" w:rsidRDefault="007F26CB" w:rsidP="007F26CB">
            <w:pPr>
              <w:spacing w:line="360" w:lineRule="auto"/>
              <w:jc w:val="center"/>
              <w:rPr>
                <w:b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E974" w14:textId="77777777" w:rsidR="007F26CB" w:rsidRPr="008E5512" w:rsidRDefault="007F26CB" w:rsidP="007F26CB">
            <w:pPr>
              <w:suppressAutoHyphens w:val="0"/>
              <w:spacing w:line="360" w:lineRule="auto"/>
              <w:jc w:val="both"/>
              <w:rPr>
                <w:rFonts w:ascii="Verdana" w:hAnsi="Verdana"/>
                <w:sz w:val="19"/>
                <w:szCs w:val="19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 xml:space="preserve">Fralda descartável infantil - tamanho </w:t>
            </w:r>
            <w:proofErr w:type="spellStart"/>
            <w:r w:rsidRPr="008E5512">
              <w:rPr>
                <w:rFonts w:ascii="Verdana" w:hAnsi="Verdana"/>
                <w:sz w:val="19"/>
                <w:szCs w:val="19"/>
              </w:rPr>
              <w:t>xg</w:t>
            </w:r>
            <w:proofErr w:type="spellEnd"/>
            <w:r w:rsidRPr="008E5512">
              <w:rPr>
                <w:rFonts w:ascii="Verdana" w:hAnsi="Verdana"/>
                <w:sz w:val="19"/>
                <w:szCs w:val="19"/>
              </w:rPr>
              <w:t xml:space="preserve"> (fralda infantil com sistema de proteção contra vazamentos, possui barreiras laterais </w:t>
            </w:r>
            <w:proofErr w:type="spellStart"/>
            <w:r w:rsidRPr="008E5512">
              <w:rPr>
                <w:rFonts w:ascii="Verdana" w:hAnsi="Verdana"/>
                <w:sz w:val="19"/>
                <w:szCs w:val="19"/>
              </w:rPr>
              <w:t>super</w:t>
            </w:r>
            <w:proofErr w:type="spellEnd"/>
            <w:r w:rsidRPr="008E5512">
              <w:rPr>
                <w:rFonts w:ascii="Verdana" w:hAnsi="Verdana"/>
                <w:sz w:val="19"/>
                <w:szCs w:val="19"/>
              </w:rPr>
              <w:t xml:space="preserve"> impermeáveis, maiores de ponta a ponta, alta concentração de gel superabsorvente; com exclusiva camada de proteção ultra seca. </w:t>
            </w:r>
          </w:p>
          <w:p w14:paraId="0B6BFAF1" w14:textId="7CFFF2E2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 xml:space="preserve">Composição: filme de polietileno, polpa de celulose, polímero superabsorvente, não tecido de polipropileno, não-tecido de fibras </w:t>
            </w:r>
            <w:proofErr w:type="spellStart"/>
            <w:r w:rsidRPr="008E5512">
              <w:rPr>
                <w:rFonts w:ascii="Verdana" w:hAnsi="Verdana"/>
                <w:sz w:val="19"/>
                <w:szCs w:val="19"/>
              </w:rPr>
              <w:t>bicomponentes</w:t>
            </w:r>
            <w:proofErr w:type="spellEnd"/>
            <w:r w:rsidRPr="008E5512">
              <w:rPr>
                <w:rFonts w:ascii="Verdana" w:hAnsi="Verdana"/>
                <w:sz w:val="19"/>
                <w:szCs w:val="19"/>
              </w:rPr>
              <w:t xml:space="preserve"> e fibras poliéster, </w:t>
            </w:r>
            <w:proofErr w:type="spellStart"/>
            <w:r w:rsidRPr="008E5512">
              <w:rPr>
                <w:rFonts w:ascii="Verdana" w:hAnsi="Verdana"/>
                <w:sz w:val="19"/>
                <w:szCs w:val="19"/>
              </w:rPr>
              <w:t>aloe</w:t>
            </w:r>
            <w:proofErr w:type="spellEnd"/>
            <w:r w:rsidRPr="008E5512">
              <w:rPr>
                <w:rFonts w:ascii="Verdana" w:hAnsi="Verdana"/>
                <w:sz w:val="19"/>
                <w:szCs w:val="19"/>
              </w:rPr>
              <w:t xml:space="preserve"> vera, vitamina e, adesivo termoplástico, fios de elástico, fitas adesivas. Componentes atóxicos não propensos a causar irritação em contato com a pele. Produto certificado pelo MS, com código de barras impresso na embalagem. Pacote jumbo, tamanho XG - contendo 24 unidades. Validade mínima de 2 anos a partir da data de entrega.</w:t>
            </w:r>
          </w:p>
        </w:tc>
        <w:tc>
          <w:tcPr>
            <w:tcW w:w="1427" w:type="dxa"/>
            <w:vAlign w:val="center"/>
          </w:tcPr>
          <w:p w14:paraId="488698C3" w14:textId="7DFD5F83" w:rsidR="007F26CB" w:rsidRPr="00285413" w:rsidRDefault="007F26CB" w:rsidP="007F26CB">
            <w:pPr>
              <w:spacing w:line="360" w:lineRule="auto"/>
              <w:jc w:val="center"/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PCT</w:t>
            </w:r>
          </w:p>
        </w:tc>
        <w:tc>
          <w:tcPr>
            <w:tcW w:w="2302" w:type="dxa"/>
            <w:noWrap/>
            <w:vAlign w:val="center"/>
          </w:tcPr>
          <w:p w14:paraId="6E9F46EE" w14:textId="2BCFFC8B" w:rsidR="007F26CB" w:rsidRDefault="007F26CB" w:rsidP="007F26CB">
            <w:pPr>
              <w:spacing w:line="360" w:lineRule="auto"/>
              <w:jc w:val="center"/>
              <w:rPr>
                <w:color w:val="000000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84</w:t>
            </w:r>
          </w:p>
        </w:tc>
        <w:tc>
          <w:tcPr>
            <w:tcW w:w="1843" w:type="dxa"/>
          </w:tcPr>
          <w:p w14:paraId="6F710D59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19F6F5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7350B900" w14:textId="77777777" w:rsidTr="008E148A">
        <w:trPr>
          <w:trHeight w:val="1260"/>
        </w:trPr>
        <w:tc>
          <w:tcPr>
            <w:tcW w:w="789" w:type="dxa"/>
            <w:vAlign w:val="center"/>
          </w:tcPr>
          <w:p w14:paraId="20FAD3F0" w14:textId="6518317E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lastRenderedPageBreak/>
              <w:t>15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16692" w14:textId="19DD1CA3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Hastes flexíveis com pontas de algodão dispostos em embalagens com no mínimo 75 cotonetes, feito com algodão 100% puro.</w:t>
            </w:r>
          </w:p>
        </w:tc>
        <w:tc>
          <w:tcPr>
            <w:tcW w:w="1427" w:type="dxa"/>
            <w:vAlign w:val="center"/>
          </w:tcPr>
          <w:p w14:paraId="37E8C2BC" w14:textId="78A1094C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77837C03" w14:textId="54EE976D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420</w:t>
            </w:r>
          </w:p>
        </w:tc>
        <w:tc>
          <w:tcPr>
            <w:tcW w:w="1843" w:type="dxa"/>
          </w:tcPr>
          <w:p w14:paraId="0A39778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AA3F7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339FABC4" w14:textId="77777777" w:rsidTr="00DA6AEB">
        <w:trPr>
          <w:trHeight w:val="1468"/>
        </w:trPr>
        <w:tc>
          <w:tcPr>
            <w:tcW w:w="789" w:type="dxa"/>
            <w:vAlign w:val="center"/>
          </w:tcPr>
          <w:p w14:paraId="04169E1A" w14:textId="60342350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FD6B" w14:textId="6AA82B1A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Desodorante corporal -</w:t>
            </w: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tradicional frasco com no mínimo com 60 ml, composto por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Digluconato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de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clorexidina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com ação antimicrobiana de alto padrão, auxiliando no combate da proliferação de microrganismos maléficos na superfície da pele, eliminando os odores indesejáveis. Testado dermatologicamente. </w:t>
            </w:r>
          </w:p>
        </w:tc>
        <w:tc>
          <w:tcPr>
            <w:tcW w:w="1427" w:type="dxa"/>
            <w:vAlign w:val="center"/>
          </w:tcPr>
          <w:p w14:paraId="30F5F7FE" w14:textId="4746C283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737AA81" w14:textId="00A0F31C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200</w:t>
            </w:r>
          </w:p>
        </w:tc>
        <w:tc>
          <w:tcPr>
            <w:tcW w:w="1843" w:type="dxa"/>
          </w:tcPr>
          <w:p w14:paraId="5D9511E5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DC61C6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ED9932C" w14:textId="77777777" w:rsidTr="008E148A">
        <w:trPr>
          <w:trHeight w:val="1260"/>
        </w:trPr>
        <w:tc>
          <w:tcPr>
            <w:tcW w:w="789" w:type="dxa"/>
            <w:vAlign w:val="center"/>
          </w:tcPr>
          <w:p w14:paraId="0F8D58F2" w14:textId="399B32A5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EE1E" w14:textId="6C40AF49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Loção hidratante corporal, frasco com no mínimo 200 ml, com absorção imediata e textura leve, sem sensação oleosa, testado dermatologicamente</w:t>
            </w:r>
            <w:r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.</w:t>
            </w:r>
          </w:p>
        </w:tc>
        <w:tc>
          <w:tcPr>
            <w:tcW w:w="1427" w:type="dxa"/>
            <w:vAlign w:val="center"/>
          </w:tcPr>
          <w:p w14:paraId="7850C332" w14:textId="247C4BEE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4D5D4E3F" w14:textId="4F79A747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528</w:t>
            </w:r>
          </w:p>
        </w:tc>
        <w:tc>
          <w:tcPr>
            <w:tcW w:w="1843" w:type="dxa"/>
          </w:tcPr>
          <w:p w14:paraId="0F8FB51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3AE1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5A74305" w14:textId="77777777" w:rsidTr="00DA6AEB">
        <w:trPr>
          <w:trHeight w:val="1632"/>
        </w:trPr>
        <w:tc>
          <w:tcPr>
            <w:tcW w:w="789" w:type="dxa"/>
            <w:vAlign w:val="center"/>
          </w:tcPr>
          <w:p w14:paraId="410F277B" w14:textId="09132304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A7983" w14:textId="4FDEF451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Pente de plástico para todos os tipos de cabelos. Com face oposta dos dentes para distribuição de cremes, da raiz até as pontas. Com cabo para facilitar o manuseio do pente conferindo mais segurança e firmeza na hora de utilizar o mesmo, e com dentes de formato arredondado para não machucar o couro cabeludo. Medida aproximada: 16cm de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Comprimento.Composição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: Resina Plástica Com Pigmentos.</w:t>
            </w:r>
          </w:p>
        </w:tc>
        <w:tc>
          <w:tcPr>
            <w:tcW w:w="1427" w:type="dxa"/>
            <w:vAlign w:val="center"/>
          </w:tcPr>
          <w:p w14:paraId="78C4A301" w14:textId="471C0845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2AAE467D" w14:textId="1976178F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184</w:t>
            </w:r>
          </w:p>
        </w:tc>
        <w:tc>
          <w:tcPr>
            <w:tcW w:w="1843" w:type="dxa"/>
          </w:tcPr>
          <w:p w14:paraId="7AD2FD40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A8A45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26445EBE" w14:textId="77777777" w:rsidTr="00DA6AEB">
        <w:trPr>
          <w:trHeight w:val="659"/>
        </w:trPr>
        <w:tc>
          <w:tcPr>
            <w:tcW w:w="789" w:type="dxa"/>
            <w:vAlign w:val="center"/>
          </w:tcPr>
          <w:p w14:paraId="3CC2FB5F" w14:textId="62729047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19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3C36" w14:textId="075A4351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Removedor de Esmalte líquido com acetona, frasco com 100 ml. </w:t>
            </w:r>
          </w:p>
        </w:tc>
        <w:tc>
          <w:tcPr>
            <w:tcW w:w="1427" w:type="dxa"/>
            <w:vAlign w:val="center"/>
          </w:tcPr>
          <w:p w14:paraId="653CAF25" w14:textId="44CB547B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6417FBE0" w14:textId="4774D776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140</w:t>
            </w:r>
          </w:p>
        </w:tc>
        <w:tc>
          <w:tcPr>
            <w:tcW w:w="1843" w:type="dxa"/>
          </w:tcPr>
          <w:p w14:paraId="0726ADA0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DF8027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678528A9" w14:textId="77777777" w:rsidTr="008E148A">
        <w:trPr>
          <w:trHeight w:val="1260"/>
        </w:trPr>
        <w:tc>
          <w:tcPr>
            <w:tcW w:w="789" w:type="dxa"/>
            <w:vAlign w:val="center"/>
          </w:tcPr>
          <w:p w14:paraId="27F35B31" w14:textId="687AAF78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E3B2C" w14:textId="07747DEF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Sabonete líquido frasco com 5 litros, com PH fisiológico,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hipoalergênico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 e livre de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parabenos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, sulfatos, corantes e </w:t>
            </w:r>
            <w:proofErr w:type="spellStart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>ftalatos</w:t>
            </w:r>
            <w:proofErr w:type="spellEnd"/>
            <w:r w:rsidRPr="008E5512">
              <w:rPr>
                <w:rFonts w:ascii="Verdana" w:hAnsi="Verdana"/>
                <w:color w:val="000000"/>
                <w:sz w:val="19"/>
                <w:szCs w:val="19"/>
                <w:lang w:eastAsia="pt-BR"/>
              </w:rPr>
              <w:t xml:space="preserve">. Testado dermatologicamente. </w:t>
            </w:r>
          </w:p>
        </w:tc>
        <w:tc>
          <w:tcPr>
            <w:tcW w:w="1427" w:type="dxa"/>
            <w:vAlign w:val="center"/>
          </w:tcPr>
          <w:p w14:paraId="5D30CEB0" w14:textId="3735A7D2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34762F9F" w14:textId="207405F9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480</w:t>
            </w:r>
          </w:p>
        </w:tc>
        <w:tc>
          <w:tcPr>
            <w:tcW w:w="1843" w:type="dxa"/>
          </w:tcPr>
          <w:p w14:paraId="350DC00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8BA6A6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20880C18" w14:textId="77777777" w:rsidTr="008E148A">
        <w:trPr>
          <w:trHeight w:val="1260"/>
        </w:trPr>
        <w:tc>
          <w:tcPr>
            <w:tcW w:w="789" w:type="dxa"/>
            <w:vAlign w:val="center"/>
          </w:tcPr>
          <w:p w14:paraId="7A75CD0F" w14:textId="1E15DD67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21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8A759" w14:textId="4B68E7A8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>Sabonete líquido infantil - suave; não resseca a pele; com alto teor de glicerina. Dermatologicamente testado - hidratante, possui PH neutro, biodegradável. Sem álcool. Conteúdo: em frasco plástico de no mínimo 200ml. Com registro MS/ANVISA no rotulo.</w:t>
            </w:r>
          </w:p>
        </w:tc>
        <w:tc>
          <w:tcPr>
            <w:tcW w:w="1427" w:type="dxa"/>
            <w:vAlign w:val="center"/>
          </w:tcPr>
          <w:p w14:paraId="4248AE37" w14:textId="4992ED2C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79504640" w14:textId="24A1832F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36</w:t>
            </w:r>
          </w:p>
        </w:tc>
        <w:tc>
          <w:tcPr>
            <w:tcW w:w="1843" w:type="dxa"/>
          </w:tcPr>
          <w:p w14:paraId="17A3F007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BE9E1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4DF4205C" w14:textId="77777777" w:rsidTr="00DA6AEB">
        <w:trPr>
          <w:trHeight w:val="897"/>
        </w:trPr>
        <w:tc>
          <w:tcPr>
            <w:tcW w:w="789" w:type="dxa"/>
            <w:vAlign w:val="center"/>
          </w:tcPr>
          <w:p w14:paraId="1E44C6C5" w14:textId="63325F83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lastRenderedPageBreak/>
              <w:t>22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A2312" w14:textId="1C85F84D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>Shampoo adulto, tipo uso diário, aplicação para todos os tipos de cabelos, embalagem de no mínimo 400ml, prazo de validade de no mínimo 06 meses a contar da entrega.</w:t>
            </w:r>
          </w:p>
        </w:tc>
        <w:tc>
          <w:tcPr>
            <w:tcW w:w="1427" w:type="dxa"/>
            <w:vAlign w:val="center"/>
          </w:tcPr>
          <w:p w14:paraId="01704987" w14:textId="414AD50A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4BC1674E" w14:textId="6EDBBA52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648</w:t>
            </w:r>
          </w:p>
        </w:tc>
        <w:tc>
          <w:tcPr>
            <w:tcW w:w="1843" w:type="dxa"/>
          </w:tcPr>
          <w:p w14:paraId="55A4FC12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671096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536E9674" w14:textId="77777777" w:rsidTr="008E148A">
        <w:trPr>
          <w:trHeight w:val="1260"/>
        </w:trPr>
        <w:tc>
          <w:tcPr>
            <w:tcW w:w="789" w:type="dxa"/>
            <w:vAlign w:val="center"/>
          </w:tcPr>
          <w:p w14:paraId="298A4968" w14:textId="7E87C5E2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23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E868" w14:textId="61FCC60B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 xml:space="preserve">Shampoo infantil: com fórmula sem álcool e PH neutro, que não irrita os olhos e nem a pele. Frasco com 200 a 350 </w:t>
            </w:r>
            <w:proofErr w:type="spellStart"/>
            <w:r w:rsidRPr="008E5512">
              <w:rPr>
                <w:rFonts w:ascii="Verdana" w:hAnsi="Verdana"/>
                <w:sz w:val="19"/>
                <w:szCs w:val="19"/>
              </w:rPr>
              <w:t>ml.Validade</w:t>
            </w:r>
            <w:proofErr w:type="spellEnd"/>
            <w:r w:rsidRPr="008E5512">
              <w:rPr>
                <w:rFonts w:ascii="Verdana" w:hAnsi="Verdana"/>
                <w:sz w:val="19"/>
                <w:szCs w:val="19"/>
              </w:rPr>
              <w:t xml:space="preserve"> mínima de 06 (seis) meses após a data de entrega</w:t>
            </w:r>
          </w:p>
        </w:tc>
        <w:tc>
          <w:tcPr>
            <w:tcW w:w="1427" w:type="dxa"/>
            <w:vAlign w:val="center"/>
          </w:tcPr>
          <w:p w14:paraId="5796BE83" w14:textId="0148C7A3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FRASCO</w:t>
            </w:r>
          </w:p>
        </w:tc>
        <w:tc>
          <w:tcPr>
            <w:tcW w:w="2302" w:type="dxa"/>
            <w:noWrap/>
            <w:vAlign w:val="center"/>
          </w:tcPr>
          <w:p w14:paraId="4D179489" w14:textId="601F6B9D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36</w:t>
            </w:r>
          </w:p>
        </w:tc>
        <w:tc>
          <w:tcPr>
            <w:tcW w:w="1843" w:type="dxa"/>
          </w:tcPr>
          <w:p w14:paraId="1CAA29A8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CDC5C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26CB" w:rsidRPr="004B291E" w14:paraId="05B580D0" w14:textId="77777777" w:rsidTr="00DA6AEB">
        <w:trPr>
          <w:trHeight w:val="1991"/>
        </w:trPr>
        <w:tc>
          <w:tcPr>
            <w:tcW w:w="789" w:type="dxa"/>
            <w:vAlign w:val="center"/>
          </w:tcPr>
          <w:p w14:paraId="0BEFE664" w14:textId="3070571B" w:rsidR="007F26CB" w:rsidRPr="00DA769F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b/>
                <w:bCs/>
                <w:sz w:val="19"/>
                <w:szCs w:val="19"/>
                <w:lang w:eastAsia="pt-BR"/>
              </w:rPr>
              <w:t>24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30EB" w14:textId="5DF91C06" w:rsidR="007F26CB" w:rsidRPr="008E148A" w:rsidRDefault="007F26CB" w:rsidP="007F26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8E5512">
              <w:rPr>
                <w:rFonts w:ascii="Verdana" w:hAnsi="Verdana"/>
                <w:sz w:val="19"/>
                <w:szCs w:val="19"/>
              </w:rPr>
              <w:t>Talco infantil, embalagem com 200 g; para higiene infantil.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E5512">
              <w:rPr>
                <w:rFonts w:ascii="Verdana" w:hAnsi="Verdana"/>
                <w:sz w:val="19"/>
                <w:szCs w:val="19"/>
              </w:rPr>
              <w:t xml:space="preserve">Composição: talco, carbonato de magnésio e fragrância suave. O rótulo do produto deverá estar em conformidade com a legislação vigente e conter no mínimo: indicação de data de validade, dados do fabricante, marca, composição do produto e peso. O prazo de validade do produto no momento da entrega não poderá ser superior a 1/3 do prazo total da validade impressa no rótulo.  </w:t>
            </w:r>
          </w:p>
        </w:tc>
        <w:tc>
          <w:tcPr>
            <w:tcW w:w="1427" w:type="dxa"/>
            <w:vAlign w:val="center"/>
          </w:tcPr>
          <w:p w14:paraId="246F6FC1" w14:textId="503B1A11" w:rsidR="007F26CB" w:rsidRPr="00285413" w:rsidRDefault="007F26CB" w:rsidP="007F26CB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2302" w:type="dxa"/>
            <w:noWrap/>
            <w:vAlign w:val="center"/>
          </w:tcPr>
          <w:p w14:paraId="621F046C" w14:textId="0663E31C" w:rsidR="007F26CB" w:rsidRDefault="007F26CB" w:rsidP="007F26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8E5512">
              <w:rPr>
                <w:rFonts w:ascii="Verdana" w:hAnsi="Verdana" w:cs="Arial"/>
                <w:sz w:val="19"/>
                <w:szCs w:val="19"/>
                <w:lang w:eastAsia="pt-BR"/>
              </w:rPr>
              <w:t>338</w:t>
            </w:r>
          </w:p>
        </w:tc>
        <w:tc>
          <w:tcPr>
            <w:tcW w:w="1843" w:type="dxa"/>
          </w:tcPr>
          <w:p w14:paraId="5AF97DBF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9F269" w14:textId="77777777" w:rsidR="007F26CB" w:rsidRPr="004B291E" w:rsidRDefault="007F26CB" w:rsidP="007F26CB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647C6B6" w14:textId="77777777" w:rsidR="00DA6AEB" w:rsidRDefault="00DA6AEB" w:rsidP="00227827">
      <w:pPr>
        <w:rPr>
          <w:rFonts w:ascii="Arial" w:hAnsi="Arial" w:cs="Arial"/>
          <w:sz w:val="20"/>
          <w:szCs w:val="20"/>
        </w:rPr>
      </w:pPr>
    </w:p>
    <w:p w14:paraId="2977545A" w14:textId="17703256" w:rsidR="00227827" w:rsidRPr="00455F3A" w:rsidRDefault="00DA6AEB" w:rsidP="0022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1F3F92BA" w:rsidRPr="00455F3A">
        <w:rPr>
          <w:rFonts w:ascii="Arial" w:hAnsi="Arial" w:cs="Arial"/>
          <w:sz w:val="20"/>
          <w:szCs w:val="20"/>
        </w:rPr>
        <w:t xml:space="preserve">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CDA06E2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7F26CB">
        <w:rPr>
          <w:rFonts w:ascii="Arial" w:hAnsi="Arial" w:cs="Arial"/>
        </w:rPr>
        <w:t>fevereiro</w:t>
      </w:r>
      <w:r w:rsidRPr="1F3F92BA">
        <w:rPr>
          <w:rFonts w:ascii="Arial" w:hAnsi="Arial" w:cs="Arial"/>
        </w:rPr>
        <w:t xml:space="preserve"> de 202</w:t>
      </w:r>
      <w:r w:rsidR="0028541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  <w:bookmarkStart w:id="3" w:name="_GoBack"/>
      <w:bookmarkEnd w:id="3"/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DA6AEB">
      <w:headerReference w:type="default" r:id="rId8"/>
      <w:pgSz w:w="16838" w:h="11906" w:orient="landscape"/>
      <w:pgMar w:top="720" w:right="720" w:bottom="567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93A13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541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4739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26CB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48A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A6AEB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C60A-9317-456F-B0BC-B97D6BCA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2022-11-30T18:00:00Z</dcterms:created>
  <dcterms:modified xsi:type="dcterms:W3CDTF">2023-02-23T19:11:00Z</dcterms:modified>
</cp:coreProperties>
</file>