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67374" w14:textId="77777777" w:rsidR="0055277D" w:rsidRPr="008D03B3" w:rsidRDefault="0055277D" w:rsidP="008D03B3">
      <w:pPr>
        <w:pStyle w:val="Corpodetexto"/>
        <w:jc w:val="center"/>
        <w:rPr>
          <w:rFonts w:ascii="Arial" w:hAnsi="Arial" w:cs="Arial"/>
        </w:rPr>
      </w:pPr>
      <w:bookmarkStart w:id="0" w:name="_GoBack"/>
      <w:bookmarkEnd w:id="0"/>
      <w:r w:rsidRPr="008D03B3">
        <w:rPr>
          <w:rFonts w:ascii="Arial" w:hAnsi="Arial" w:cs="Arial"/>
        </w:rPr>
        <w:t>FACULDADE</w:t>
      </w:r>
      <w:r w:rsidRPr="008D03B3">
        <w:rPr>
          <w:rFonts w:ascii="Arial" w:hAnsi="Arial" w:cs="Arial"/>
          <w:spacing w:val="-4"/>
        </w:rPr>
        <w:t xml:space="preserve"> </w:t>
      </w:r>
      <w:r w:rsidRPr="008D03B3">
        <w:rPr>
          <w:rFonts w:ascii="Arial" w:hAnsi="Arial" w:cs="Arial"/>
        </w:rPr>
        <w:t>METROPOLITANA</w:t>
      </w:r>
      <w:r w:rsidRPr="008D03B3">
        <w:rPr>
          <w:rFonts w:ascii="Arial" w:hAnsi="Arial" w:cs="Arial"/>
          <w:spacing w:val="-6"/>
        </w:rPr>
        <w:t xml:space="preserve"> </w:t>
      </w:r>
      <w:r w:rsidRPr="008D03B3">
        <w:rPr>
          <w:rFonts w:ascii="Arial" w:hAnsi="Arial" w:cs="Arial"/>
        </w:rPr>
        <w:t>DO</w:t>
      </w:r>
      <w:r w:rsidRPr="008D03B3">
        <w:rPr>
          <w:rFonts w:ascii="Arial" w:hAnsi="Arial" w:cs="Arial"/>
          <w:spacing w:val="-3"/>
        </w:rPr>
        <w:t xml:space="preserve"> </w:t>
      </w:r>
      <w:r w:rsidRPr="008D03B3">
        <w:rPr>
          <w:rFonts w:ascii="Arial" w:hAnsi="Arial" w:cs="Arial"/>
        </w:rPr>
        <w:t>ESTADO</w:t>
      </w:r>
      <w:r w:rsidRPr="008D03B3">
        <w:rPr>
          <w:rFonts w:ascii="Arial" w:hAnsi="Arial" w:cs="Arial"/>
          <w:spacing w:val="-4"/>
        </w:rPr>
        <w:t xml:space="preserve"> </w:t>
      </w:r>
      <w:r w:rsidRPr="008D03B3">
        <w:rPr>
          <w:rFonts w:ascii="Arial" w:hAnsi="Arial" w:cs="Arial"/>
        </w:rPr>
        <w:t>DE</w:t>
      </w:r>
      <w:r w:rsidRPr="008D03B3">
        <w:rPr>
          <w:rFonts w:ascii="Arial" w:hAnsi="Arial" w:cs="Arial"/>
          <w:spacing w:val="-4"/>
        </w:rPr>
        <w:t xml:space="preserve"> </w:t>
      </w:r>
      <w:r w:rsidRPr="008D03B3">
        <w:rPr>
          <w:rFonts w:ascii="Arial" w:hAnsi="Arial" w:cs="Arial"/>
        </w:rPr>
        <w:t>SÃO</w:t>
      </w:r>
      <w:r w:rsidRPr="008D03B3">
        <w:rPr>
          <w:rFonts w:ascii="Arial" w:hAnsi="Arial" w:cs="Arial"/>
          <w:spacing w:val="-5"/>
        </w:rPr>
        <w:t xml:space="preserve"> </w:t>
      </w:r>
      <w:r w:rsidRPr="008D03B3">
        <w:rPr>
          <w:rFonts w:ascii="Arial" w:hAnsi="Arial" w:cs="Arial"/>
          <w:spacing w:val="-2"/>
        </w:rPr>
        <w:t>PAULO</w:t>
      </w:r>
    </w:p>
    <w:p w14:paraId="2D89F168" w14:textId="77777777" w:rsidR="0055277D" w:rsidRPr="008D03B3" w:rsidRDefault="0055277D" w:rsidP="008D03B3">
      <w:pPr>
        <w:pStyle w:val="Corpodetexto"/>
        <w:jc w:val="center"/>
        <w:rPr>
          <w:rFonts w:ascii="Arial" w:hAnsi="Arial" w:cs="Arial"/>
          <w:spacing w:val="-2"/>
        </w:rPr>
      </w:pPr>
    </w:p>
    <w:p w14:paraId="0F5FE8CA" w14:textId="77777777" w:rsidR="0055277D" w:rsidRPr="008D03B3" w:rsidRDefault="0055277D" w:rsidP="008D03B3">
      <w:pPr>
        <w:pStyle w:val="Corpodetexto"/>
        <w:jc w:val="center"/>
        <w:rPr>
          <w:rFonts w:ascii="Arial" w:hAnsi="Arial" w:cs="Arial"/>
          <w:spacing w:val="-2"/>
        </w:rPr>
      </w:pPr>
    </w:p>
    <w:p w14:paraId="52FB4BEC" w14:textId="77777777" w:rsidR="0055277D" w:rsidRPr="008D03B3" w:rsidRDefault="0055277D" w:rsidP="008D03B3">
      <w:pPr>
        <w:pStyle w:val="Corpodetexto"/>
        <w:jc w:val="center"/>
        <w:rPr>
          <w:rFonts w:ascii="Arial" w:hAnsi="Arial" w:cs="Arial"/>
          <w:spacing w:val="-2"/>
        </w:rPr>
      </w:pPr>
    </w:p>
    <w:p w14:paraId="460ABC3F" w14:textId="77777777" w:rsidR="0055277D" w:rsidRPr="008D03B3" w:rsidRDefault="0055277D" w:rsidP="008D03B3">
      <w:pPr>
        <w:pStyle w:val="Corpodetexto"/>
        <w:jc w:val="center"/>
        <w:rPr>
          <w:rFonts w:ascii="Arial" w:hAnsi="Arial" w:cs="Arial"/>
          <w:spacing w:val="-2"/>
        </w:rPr>
      </w:pPr>
    </w:p>
    <w:p w14:paraId="721ADC5C" w14:textId="77777777" w:rsidR="0055277D" w:rsidRPr="008D03B3" w:rsidRDefault="0055277D" w:rsidP="008D03B3">
      <w:pPr>
        <w:pStyle w:val="Corpodetexto"/>
        <w:jc w:val="center"/>
        <w:rPr>
          <w:rFonts w:ascii="Arial" w:hAnsi="Arial" w:cs="Arial"/>
        </w:rPr>
      </w:pPr>
    </w:p>
    <w:p w14:paraId="64375A84" w14:textId="77777777" w:rsidR="0055277D" w:rsidRPr="008D03B3" w:rsidRDefault="0055277D" w:rsidP="008D03B3">
      <w:pPr>
        <w:pStyle w:val="Corpodetexto"/>
        <w:jc w:val="center"/>
        <w:rPr>
          <w:rFonts w:ascii="Arial" w:hAnsi="Arial" w:cs="Arial"/>
        </w:rPr>
      </w:pPr>
    </w:p>
    <w:p w14:paraId="3A985CEF" w14:textId="77777777" w:rsidR="0055277D" w:rsidRPr="008D03B3" w:rsidRDefault="0055277D" w:rsidP="008D03B3">
      <w:pPr>
        <w:pStyle w:val="Corpodetexto"/>
        <w:jc w:val="center"/>
        <w:rPr>
          <w:rFonts w:ascii="Arial" w:hAnsi="Arial" w:cs="Arial"/>
        </w:rPr>
      </w:pPr>
    </w:p>
    <w:p w14:paraId="023214A5" w14:textId="77777777" w:rsidR="0055277D" w:rsidRPr="008D03B3" w:rsidRDefault="0055277D" w:rsidP="008D03B3">
      <w:pPr>
        <w:pStyle w:val="Corpodetexto"/>
        <w:jc w:val="center"/>
        <w:rPr>
          <w:rFonts w:ascii="Arial" w:hAnsi="Arial" w:cs="Arial"/>
        </w:rPr>
      </w:pPr>
    </w:p>
    <w:p w14:paraId="564EACEC" w14:textId="77777777" w:rsidR="0055277D" w:rsidRPr="008D03B3" w:rsidRDefault="0055277D" w:rsidP="008D03B3">
      <w:pPr>
        <w:pStyle w:val="Corpodetexto"/>
        <w:jc w:val="center"/>
        <w:rPr>
          <w:rFonts w:ascii="Arial" w:hAnsi="Arial" w:cs="Arial"/>
        </w:rPr>
      </w:pPr>
    </w:p>
    <w:p w14:paraId="1FD76D97" w14:textId="77777777" w:rsidR="0055277D" w:rsidRPr="008D03B3" w:rsidRDefault="0055277D" w:rsidP="008D03B3">
      <w:pPr>
        <w:pStyle w:val="Corpodetexto"/>
        <w:jc w:val="center"/>
        <w:rPr>
          <w:rFonts w:ascii="Arial" w:hAnsi="Arial" w:cs="Arial"/>
        </w:rPr>
      </w:pPr>
    </w:p>
    <w:p w14:paraId="160FD004" w14:textId="77777777" w:rsidR="0055277D" w:rsidRPr="008D03B3" w:rsidRDefault="0055277D" w:rsidP="008D03B3">
      <w:pPr>
        <w:pStyle w:val="Corpodetexto"/>
        <w:jc w:val="center"/>
        <w:rPr>
          <w:rFonts w:ascii="Arial" w:hAnsi="Arial" w:cs="Arial"/>
        </w:rPr>
      </w:pPr>
    </w:p>
    <w:p w14:paraId="234CAF4F" w14:textId="77777777" w:rsidR="0055277D" w:rsidRPr="008D03B3" w:rsidRDefault="0055277D" w:rsidP="008D03B3">
      <w:pPr>
        <w:pStyle w:val="Corpodetexto"/>
        <w:jc w:val="center"/>
        <w:rPr>
          <w:rFonts w:ascii="Arial" w:hAnsi="Arial" w:cs="Arial"/>
        </w:rPr>
      </w:pPr>
    </w:p>
    <w:p w14:paraId="05B13268" w14:textId="6C94154A" w:rsidR="00C27F91" w:rsidRPr="008D03B3" w:rsidRDefault="00C27F91" w:rsidP="008D03B3">
      <w:pPr>
        <w:pStyle w:val="Corpodetexto"/>
        <w:jc w:val="center"/>
        <w:rPr>
          <w:rFonts w:ascii="Arial" w:hAnsi="Arial" w:cs="Arial"/>
        </w:rPr>
      </w:pPr>
      <w:r w:rsidRPr="008D03B3">
        <w:rPr>
          <w:rFonts w:ascii="Arial" w:hAnsi="Arial" w:cs="Arial"/>
        </w:rPr>
        <w:t>Gisele Cristina Paixão</w:t>
      </w:r>
    </w:p>
    <w:p w14:paraId="3E99A405" w14:textId="08019DB7" w:rsidR="00C27F91" w:rsidRPr="008D03B3" w:rsidRDefault="00C27F91" w:rsidP="008D03B3">
      <w:pPr>
        <w:pStyle w:val="Corpodetexto"/>
        <w:jc w:val="center"/>
        <w:rPr>
          <w:rFonts w:ascii="Arial" w:hAnsi="Arial" w:cs="Arial"/>
        </w:rPr>
      </w:pPr>
      <w:r w:rsidRPr="008D03B3">
        <w:rPr>
          <w:rFonts w:ascii="Arial" w:hAnsi="Arial" w:cs="Arial"/>
        </w:rPr>
        <w:t>Michelle Cristina da Silva</w:t>
      </w:r>
    </w:p>
    <w:p w14:paraId="4FEE1E73" w14:textId="79E76EFC" w:rsidR="0055277D" w:rsidRPr="008D03B3" w:rsidRDefault="00C27F91" w:rsidP="008D03B3">
      <w:pPr>
        <w:pStyle w:val="Corpodetexto"/>
        <w:jc w:val="center"/>
        <w:rPr>
          <w:rFonts w:ascii="Arial" w:hAnsi="Arial" w:cs="Arial"/>
        </w:rPr>
      </w:pPr>
      <w:r w:rsidRPr="008D03B3">
        <w:rPr>
          <w:rFonts w:ascii="Arial" w:hAnsi="Arial" w:cs="Arial"/>
        </w:rPr>
        <w:t>Roberta Braga de Andrade dos Santos</w:t>
      </w:r>
    </w:p>
    <w:p w14:paraId="5B93B659" w14:textId="77777777" w:rsidR="0055277D" w:rsidRPr="008D03B3" w:rsidRDefault="0055277D" w:rsidP="008D03B3">
      <w:pPr>
        <w:pStyle w:val="Corpodetexto"/>
        <w:jc w:val="center"/>
        <w:rPr>
          <w:rFonts w:ascii="Arial" w:hAnsi="Arial" w:cs="Arial"/>
        </w:rPr>
      </w:pPr>
    </w:p>
    <w:p w14:paraId="4CC74913" w14:textId="77777777" w:rsidR="0055277D" w:rsidRPr="008D03B3" w:rsidRDefault="0055277D" w:rsidP="008D03B3">
      <w:pPr>
        <w:pStyle w:val="Corpodetexto"/>
        <w:jc w:val="center"/>
        <w:rPr>
          <w:rFonts w:ascii="Arial" w:hAnsi="Arial" w:cs="Arial"/>
        </w:rPr>
      </w:pPr>
    </w:p>
    <w:p w14:paraId="144B4874" w14:textId="77777777" w:rsidR="0055277D" w:rsidRPr="008D03B3" w:rsidRDefault="0055277D" w:rsidP="008D03B3">
      <w:pPr>
        <w:pStyle w:val="Corpodetexto"/>
        <w:jc w:val="center"/>
        <w:rPr>
          <w:rFonts w:ascii="Arial" w:hAnsi="Arial" w:cs="Arial"/>
        </w:rPr>
      </w:pPr>
    </w:p>
    <w:p w14:paraId="79393AE9" w14:textId="77777777" w:rsidR="0055277D" w:rsidRPr="008D03B3" w:rsidRDefault="0055277D" w:rsidP="008D03B3">
      <w:pPr>
        <w:pStyle w:val="Corpodetexto"/>
        <w:jc w:val="center"/>
        <w:rPr>
          <w:rFonts w:ascii="Arial" w:hAnsi="Arial" w:cs="Arial"/>
        </w:rPr>
      </w:pPr>
    </w:p>
    <w:p w14:paraId="48B0A995" w14:textId="77777777" w:rsidR="0055277D" w:rsidRPr="008D03B3" w:rsidRDefault="0055277D" w:rsidP="008D03B3">
      <w:pPr>
        <w:pStyle w:val="Corpodetexto"/>
        <w:jc w:val="center"/>
        <w:rPr>
          <w:rFonts w:ascii="Arial" w:hAnsi="Arial" w:cs="Arial"/>
        </w:rPr>
      </w:pPr>
    </w:p>
    <w:p w14:paraId="185E0FB0" w14:textId="77777777" w:rsidR="0055277D" w:rsidRPr="008D03B3" w:rsidRDefault="0055277D" w:rsidP="008D03B3">
      <w:pPr>
        <w:pStyle w:val="Corpodetexto"/>
        <w:jc w:val="center"/>
        <w:rPr>
          <w:rFonts w:ascii="Arial" w:hAnsi="Arial" w:cs="Arial"/>
        </w:rPr>
      </w:pPr>
    </w:p>
    <w:p w14:paraId="0A0D36AC" w14:textId="77777777" w:rsidR="0055277D" w:rsidRPr="008D03B3" w:rsidRDefault="0055277D" w:rsidP="008D03B3">
      <w:pPr>
        <w:pStyle w:val="Corpodetexto"/>
        <w:jc w:val="center"/>
        <w:rPr>
          <w:rFonts w:ascii="Arial" w:hAnsi="Arial" w:cs="Arial"/>
        </w:rPr>
      </w:pPr>
    </w:p>
    <w:p w14:paraId="44523A96" w14:textId="77777777" w:rsidR="0055277D" w:rsidRPr="008D03B3" w:rsidRDefault="0055277D" w:rsidP="008D03B3">
      <w:pPr>
        <w:pStyle w:val="Corpodetexto"/>
        <w:jc w:val="center"/>
        <w:rPr>
          <w:rFonts w:ascii="Arial" w:hAnsi="Arial" w:cs="Arial"/>
        </w:rPr>
      </w:pPr>
    </w:p>
    <w:p w14:paraId="566969CC" w14:textId="77777777" w:rsidR="0055277D" w:rsidRPr="008D03B3" w:rsidRDefault="0055277D" w:rsidP="008D03B3">
      <w:pPr>
        <w:pStyle w:val="Corpodetexto"/>
        <w:jc w:val="center"/>
        <w:rPr>
          <w:rFonts w:ascii="Arial" w:hAnsi="Arial" w:cs="Arial"/>
        </w:rPr>
      </w:pPr>
    </w:p>
    <w:p w14:paraId="708010A9" w14:textId="77777777" w:rsidR="0055277D" w:rsidRPr="008D03B3" w:rsidRDefault="0055277D" w:rsidP="008D03B3">
      <w:pPr>
        <w:pStyle w:val="Corpodetexto"/>
        <w:jc w:val="center"/>
        <w:rPr>
          <w:rFonts w:ascii="Arial" w:hAnsi="Arial" w:cs="Arial"/>
        </w:rPr>
      </w:pPr>
    </w:p>
    <w:p w14:paraId="272748DC" w14:textId="77777777" w:rsidR="0055277D" w:rsidRPr="008D03B3" w:rsidRDefault="0055277D" w:rsidP="008D03B3">
      <w:pPr>
        <w:pStyle w:val="Corpodetexto"/>
        <w:jc w:val="center"/>
        <w:rPr>
          <w:rFonts w:ascii="Arial" w:hAnsi="Arial" w:cs="Arial"/>
        </w:rPr>
      </w:pPr>
    </w:p>
    <w:p w14:paraId="2922D4AC" w14:textId="77777777" w:rsidR="0055277D" w:rsidRPr="008D03B3" w:rsidRDefault="0055277D" w:rsidP="008D03B3">
      <w:pPr>
        <w:pStyle w:val="Corpodetexto"/>
        <w:jc w:val="center"/>
        <w:rPr>
          <w:rFonts w:ascii="Arial" w:hAnsi="Arial" w:cs="Arial"/>
        </w:rPr>
      </w:pPr>
    </w:p>
    <w:p w14:paraId="1626600B" w14:textId="385BEC6E" w:rsidR="0055277D" w:rsidRPr="008D03B3" w:rsidRDefault="00E37B73" w:rsidP="008D03B3">
      <w:pPr>
        <w:pStyle w:val="Corpodetexto"/>
        <w:jc w:val="center"/>
        <w:rPr>
          <w:rFonts w:ascii="Arial" w:hAnsi="Arial" w:cs="Arial"/>
        </w:rPr>
      </w:pPr>
      <w:r w:rsidRPr="008D03B3">
        <w:rPr>
          <w:rFonts w:ascii="Arial" w:hAnsi="Arial" w:cs="Arial"/>
          <w:b/>
          <w:spacing w:val="-2"/>
          <w:szCs w:val="22"/>
        </w:rPr>
        <w:t>Saúde mental dos Professores</w:t>
      </w:r>
    </w:p>
    <w:p w14:paraId="593F3C3E" w14:textId="77777777" w:rsidR="0055277D" w:rsidRPr="008D03B3" w:rsidRDefault="0055277D" w:rsidP="008D03B3">
      <w:pPr>
        <w:pStyle w:val="Corpodetexto"/>
        <w:jc w:val="center"/>
        <w:rPr>
          <w:rFonts w:ascii="Arial" w:hAnsi="Arial" w:cs="Arial"/>
        </w:rPr>
      </w:pPr>
    </w:p>
    <w:p w14:paraId="69F703D7" w14:textId="77777777" w:rsidR="0055277D" w:rsidRPr="008D03B3" w:rsidRDefault="0055277D" w:rsidP="008D03B3">
      <w:pPr>
        <w:pStyle w:val="Corpodetexto"/>
        <w:jc w:val="center"/>
        <w:rPr>
          <w:rFonts w:ascii="Arial" w:hAnsi="Arial" w:cs="Arial"/>
        </w:rPr>
      </w:pPr>
    </w:p>
    <w:p w14:paraId="445B4FD5" w14:textId="77777777" w:rsidR="0055277D" w:rsidRPr="008D03B3" w:rsidRDefault="0055277D" w:rsidP="008D03B3">
      <w:pPr>
        <w:pStyle w:val="Corpodetexto"/>
        <w:jc w:val="center"/>
        <w:rPr>
          <w:rFonts w:ascii="Arial" w:hAnsi="Arial" w:cs="Arial"/>
        </w:rPr>
      </w:pPr>
    </w:p>
    <w:p w14:paraId="74D90321" w14:textId="77777777" w:rsidR="0055277D" w:rsidRPr="008D03B3" w:rsidRDefault="0055277D" w:rsidP="008D03B3">
      <w:pPr>
        <w:pStyle w:val="Corpodetexto"/>
        <w:jc w:val="center"/>
        <w:rPr>
          <w:rFonts w:ascii="Arial" w:hAnsi="Arial" w:cs="Arial"/>
        </w:rPr>
      </w:pPr>
    </w:p>
    <w:p w14:paraId="48E69F2D" w14:textId="77777777" w:rsidR="0055277D" w:rsidRPr="008D03B3" w:rsidRDefault="0055277D" w:rsidP="008D03B3">
      <w:pPr>
        <w:pStyle w:val="Corpodetexto"/>
        <w:jc w:val="center"/>
        <w:rPr>
          <w:rFonts w:ascii="Arial" w:hAnsi="Arial" w:cs="Arial"/>
        </w:rPr>
      </w:pPr>
    </w:p>
    <w:p w14:paraId="78B14F34" w14:textId="77777777" w:rsidR="0055277D" w:rsidRPr="008D03B3" w:rsidRDefault="0055277D" w:rsidP="008D03B3">
      <w:pPr>
        <w:pStyle w:val="Corpodetexto"/>
        <w:jc w:val="center"/>
        <w:rPr>
          <w:rFonts w:ascii="Arial" w:hAnsi="Arial" w:cs="Arial"/>
        </w:rPr>
      </w:pPr>
    </w:p>
    <w:p w14:paraId="243305EB" w14:textId="77777777" w:rsidR="0055277D" w:rsidRPr="008D03B3" w:rsidRDefault="0055277D" w:rsidP="008D03B3">
      <w:pPr>
        <w:pStyle w:val="Corpodetexto"/>
        <w:jc w:val="center"/>
        <w:rPr>
          <w:rFonts w:ascii="Arial" w:hAnsi="Arial" w:cs="Arial"/>
        </w:rPr>
      </w:pPr>
    </w:p>
    <w:p w14:paraId="706C72AE" w14:textId="77777777" w:rsidR="0055277D" w:rsidRPr="008D03B3" w:rsidRDefault="0055277D" w:rsidP="008D03B3">
      <w:pPr>
        <w:pStyle w:val="Corpodetexto"/>
        <w:jc w:val="center"/>
        <w:rPr>
          <w:rFonts w:ascii="Arial" w:hAnsi="Arial" w:cs="Arial"/>
        </w:rPr>
      </w:pPr>
    </w:p>
    <w:p w14:paraId="287E7C89" w14:textId="77777777" w:rsidR="0055277D" w:rsidRPr="008D03B3" w:rsidRDefault="0055277D" w:rsidP="008D03B3">
      <w:pPr>
        <w:pStyle w:val="Corpodetexto"/>
        <w:jc w:val="center"/>
        <w:rPr>
          <w:rFonts w:ascii="Arial" w:hAnsi="Arial" w:cs="Arial"/>
        </w:rPr>
      </w:pPr>
    </w:p>
    <w:p w14:paraId="6BB7D27E" w14:textId="77777777" w:rsidR="0055277D" w:rsidRPr="008D03B3" w:rsidRDefault="0055277D" w:rsidP="008D03B3">
      <w:pPr>
        <w:pStyle w:val="Corpodetexto"/>
        <w:jc w:val="center"/>
        <w:rPr>
          <w:rFonts w:ascii="Arial" w:hAnsi="Arial" w:cs="Arial"/>
        </w:rPr>
      </w:pPr>
    </w:p>
    <w:p w14:paraId="23ED7CA6" w14:textId="77777777" w:rsidR="0055277D" w:rsidRPr="008D03B3" w:rsidRDefault="0055277D" w:rsidP="008D03B3">
      <w:pPr>
        <w:pStyle w:val="Corpodetexto"/>
        <w:jc w:val="center"/>
        <w:rPr>
          <w:rFonts w:ascii="Arial" w:hAnsi="Arial" w:cs="Arial"/>
        </w:rPr>
      </w:pPr>
    </w:p>
    <w:p w14:paraId="1A71A426" w14:textId="77777777" w:rsidR="0055277D" w:rsidRPr="008D03B3" w:rsidRDefault="0055277D" w:rsidP="008D03B3">
      <w:pPr>
        <w:pStyle w:val="Corpodetexto"/>
        <w:jc w:val="center"/>
        <w:rPr>
          <w:rFonts w:ascii="Arial" w:hAnsi="Arial" w:cs="Arial"/>
        </w:rPr>
      </w:pPr>
    </w:p>
    <w:p w14:paraId="7E127A76" w14:textId="77777777" w:rsidR="0055277D" w:rsidRPr="008D03B3" w:rsidRDefault="0055277D" w:rsidP="008D03B3">
      <w:pPr>
        <w:pStyle w:val="Corpodetexto"/>
        <w:spacing w:before="274"/>
        <w:jc w:val="center"/>
        <w:rPr>
          <w:rFonts w:ascii="Arial" w:hAnsi="Arial" w:cs="Arial"/>
        </w:rPr>
      </w:pPr>
    </w:p>
    <w:p w14:paraId="41C0CF3E" w14:textId="77777777" w:rsidR="008D03B3" w:rsidRDefault="008D03B3" w:rsidP="008D03B3">
      <w:pPr>
        <w:pStyle w:val="Corpodetexto"/>
        <w:spacing w:before="274"/>
        <w:jc w:val="center"/>
        <w:rPr>
          <w:rFonts w:ascii="Arial" w:hAnsi="Arial" w:cs="Arial"/>
        </w:rPr>
      </w:pPr>
    </w:p>
    <w:p w14:paraId="24E745A4" w14:textId="77777777" w:rsidR="008D03B3" w:rsidRPr="008D03B3" w:rsidRDefault="008D03B3" w:rsidP="008D03B3">
      <w:pPr>
        <w:pStyle w:val="Corpodetexto"/>
        <w:spacing w:before="274"/>
        <w:jc w:val="center"/>
        <w:rPr>
          <w:rFonts w:ascii="Arial" w:hAnsi="Arial" w:cs="Arial"/>
        </w:rPr>
      </w:pPr>
    </w:p>
    <w:p w14:paraId="7EF3F659" w14:textId="48E5E906" w:rsidR="0055277D" w:rsidRPr="008D03B3" w:rsidRDefault="00E52C81" w:rsidP="008D03B3">
      <w:pPr>
        <w:pStyle w:val="Corpodetexto"/>
        <w:jc w:val="center"/>
        <w:rPr>
          <w:rFonts w:ascii="Arial" w:hAnsi="Arial" w:cs="Arial"/>
        </w:rPr>
      </w:pPr>
      <w:r>
        <w:rPr>
          <w:rFonts w:ascii="Arial" w:hAnsi="Arial" w:cs="Arial"/>
        </w:rPr>
        <w:t>RIBEIRÃO PRETO</w:t>
      </w:r>
      <w:r w:rsidR="0055277D" w:rsidRPr="008D03B3">
        <w:rPr>
          <w:rFonts w:ascii="Arial" w:hAnsi="Arial" w:cs="Arial"/>
        </w:rPr>
        <w:t xml:space="preserve"> – SP</w:t>
      </w:r>
    </w:p>
    <w:p w14:paraId="25F10A23" w14:textId="5FF96DBE" w:rsidR="0055277D" w:rsidRPr="008D03B3" w:rsidRDefault="0055277D" w:rsidP="008D03B3">
      <w:pPr>
        <w:pStyle w:val="Corpodetexto"/>
        <w:jc w:val="center"/>
        <w:rPr>
          <w:rFonts w:ascii="Arial" w:hAnsi="Arial" w:cs="Arial"/>
        </w:rPr>
      </w:pPr>
      <w:r w:rsidRPr="008D03B3">
        <w:rPr>
          <w:rFonts w:ascii="Arial" w:hAnsi="Arial" w:cs="Arial"/>
          <w:spacing w:val="-4"/>
        </w:rPr>
        <w:t>2025</w:t>
      </w:r>
    </w:p>
    <w:p w14:paraId="63DF9752" w14:textId="77777777" w:rsidR="00F52B27" w:rsidRPr="00403306" w:rsidRDefault="00F52B27" w:rsidP="0055277D">
      <w:pPr>
        <w:pStyle w:val="Corpodetexto"/>
        <w:ind w:left="236" w:right="236"/>
        <w:jc w:val="center"/>
        <w:rPr>
          <w:rFonts w:ascii="Arial" w:hAnsi="Arial" w:cs="Arial"/>
          <w:color w:val="FF0000"/>
        </w:rPr>
        <w:sectPr w:rsidR="00F52B27" w:rsidRPr="00403306" w:rsidSect="008D03B3">
          <w:headerReference w:type="default" r:id="rId8"/>
          <w:pgSz w:w="11910" w:h="16840" w:code="9"/>
          <w:pgMar w:top="1701" w:right="1134" w:bottom="1134" w:left="1701" w:header="720" w:footer="720" w:gutter="0"/>
          <w:cols w:space="720"/>
          <w:docGrid w:linePitch="299"/>
        </w:sectPr>
      </w:pPr>
    </w:p>
    <w:p w14:paraId="074D473D" w14:textId="1F695541" w:rsidR="00C27F91" w:rsidRDefault="00C27F91" w:rsidP="008D03B3">
      <w:pPr>
        <w:pStyle w:val="Corpodetexto"/>
        <w:jc w:val="center"/>
      </w:pPr>
      <w:bookmarkStart w:id="1" w:name="_Hlk213617212"/>
      <w:r>
        <w:lastRenderedPageBreak/>
        <w:t>Gisele Cristina Paixão</w:t>
      </w:r>
    </w:p>
    <w:p w14:paraId="6F83D680" w14:textId="26F86E0A" w:rsidR="00C27F91" w:rsidRDefault="00C27F91" w:rsidP="008D03B3">
      <w:pPr>
        <w:pStyle w:val="Corpodetexto"/>
        <w:jc w:val="center"/>
      </w:pPr>
      <w:r>
        <w:t>Michelle Cristina da Silva</w:t>
      </w:r>
    </w:p>
    <w:p w14:paraId="2ABAE1B5" w14:textId="3AB2917A" w:rsidR="0055277D" w:rsidRPr="00403306" w:rsidRDefault="00C27F91" w:rsidP="008D03B3">
      <w:pPr>
        <w:pStyle w:val="Corpodetexto"/>
        <w:jc w:val="center"/>
        <w:rPr>
          <w:rFonts w:ascii="Arial" w:hAnsi="Arial" w:cs="Arial"/>
        </w:rPr>
      </w:pPr>
      <w:r>
        <w:t>Roberta Braga de Andrade dos Santos</w:t>
      </w:r>
      <w:bookmarkEnd w:id="1"/>
    </w:p>
    <w:p w14:paraId="46916F47" w14:textId="77777777" w:rsidR="0055277D" w:rsidRPr="00403306" w:rsidRDefault="0055277D" w:rsidP="008D03B3">
      <w:pPr>
        <w:pStyle w:val="Corpodetexto"/>
        <w:jc w:val="center"/>
        <w:rPr>
          <w:rFonts w:ascii="Arial" w:hAnsi="Arial" w:cs="Arial"/>
          <w:color w:val="FF0000"/>
        </w:rPr>
      </w:pPr>
    </w:p>
    <w:p w14:paraId="5466C9E3" w14:textId="77777777" w:rsidR="0055277D" w:rsidRPr="00403306" w:rsidRDefault="0055277D" w:rsidP="008D03B3">
      <w:pPr>
        <w:pStyle w:val="Corpodetexto"/>
        <w:jc w:val="center"/>
        <w:rPr>
          <w:rFonts w:ascii="Arial" w:hAnsi="Arial" w:cs="Arial"/>
          <w:color w:val="FF0000"/>
        </w:rPr>
      </w:pPr>
    </w:p>
    <w:p w14:paraId="15CBA27A" w14:textId="77777777" w:rsidR="0055277D" w:rsidRPr="00403306" w:rsidRDefault="0055277D" w:rsidP="008D03B3">
      <w:pPr>
        <w:pStyle w:val="Corpodetexto"/>
        <w:jc w:val="center"/>
        <w:rPr>
          <w:rFonts w:ascii="Arial" w:hAnsi="Arial" w:cs="Arial"/>
          <w:color w:val="FF0000"/>
        </w:rPr>
      </w:pPr>
    </w:p>
    <w:p w14:paraId="61D9F161" w14:textId="77777777" w:rsidR="0055277D" w:rsidRPr="00403306" w:rsidRDefault="0055277D" w:rsidP="008D03B3">
      <w:pPr>
        <w:pStyle w:val="Corpodetexto"/>
        <w:jc w:val="center"/>
        <w:rPr>
          <w:rFonts w:ascii="Arial" w:hAnsi="Arial" w:cs="Arial"/>
          <w:color w:val="FF0000"/>
        </w:rPr>
      </w:pPr>
    </w:p>
    <w:p w14:paraId="2A1FD37F" w14:textId="77777777" w:rsidR="0055277D" w:rsidRPr="00403306" w:rsidRDefault="0055277D" w:rsidP="008D03B3">
      <w:pPr>
        <w:pStyle w:val="Corpodetexto"/>
        <w:jc w:val="center"/>
        <w:rPr>
          <w:rFonts w:ascii="Arial" w:hAnsi="Arial" w:cs="Arial"/>
          <w:color w:val="FF0000"/>
        </w:rPr>
      </w:pPr>
    </w:p>
    <w:p w14:paraId="362B810C" w14:textId="77777777" w:rsidR="0055277D" w:rsidRPr="00403306" w:rsidRDefault="0055277D" w:rsidP="008D03B3">
      <w:pPr>
        <w:pStyle w:val="Corpodetexto"/>
        <w:jc w:val="center"/>
        <w:rPr>
          <w:rFonts w:ascii="Arial" w:hAnsi="Arial" w:cs="Arial"/>
          <w:color w:val="FF0000"/>
        </w:rPr>
      </w:pPr>
    </w:p>
    <w:p w14:paraId="01C36974" w14:textId="77777777" w:rsidR="0055277D" w:rsidRPr="00403306" w:rsidRDefault="0055277D" w:rsidP="008D03B3">
      <w:pPr>
        <w:pStyle w:val="Corpodetexto"/>
        <w:jc w:val="center"/>
        <w:rPr>
          <w:rFonts w:ascii="Arial" w:hAnsi="Arial" w:cs="Arial"/>
          <w:color w:val="FF0000"/>
        </w:rPr>
      </w:pPr>
    </w:p>
    <w:p w14:paraId="2AFD0987" w14:textId="77777777" w:rsidR="0055277D" w:rsidRPr="00403306" w:rsidRDefault="0055277D" w:rsidP="008D03B3">
      <w:pPr>
        <w:pStyle w:val="Corpodetexto"/>
        <w:jc w:val="center"/>
        <w:rPr>
          <w:rFonts w:ascii="Arial" w:hAnsi="Arial" w:cs="Arial"/>
          <w:color w:val="FF0000"/>
        </w:rPr>
      </w:pPr>
    </w:p>
    <w:p w14:paraId="22D00F11" w14:textId="77777777" w:rsidR="0055277D" w:rsidRPr="00403306" w:rsidRDefault="0055277D" w:rsidP="008D03B3">
      <w:pPr>
        <w:pStyle w:val="Corpodetexto"/>
        <w:jc w:val="center"/>
        <w:rPr>
          <w:rFonts w:ascii="Arial" w:hAnsi="Arial" w:cs="Arial"/>
          <w:color w:val="FF0000"/>
        </w:rPr>
      </w:pPr>
    </w:p>
    <w:p w14:paraId="55221AB5" w14:textId="77777777" w:rsidR="0055277D" w:rsidRPr="00403306" w:rsidRDefault="0055277D" w:rsidP="008D03B3">
      <w:pPr>
        <w:pStyle w:val="Corpodetexto"/>
        <w:jc w:val="center"/>
        <w:rPr>
          <w:rFonts w:ascii="Arial" w:hAnsi="Arial" w:cs="Arial"/>
          <w:color w:val="FF0000"/>
        </w:rPr>
      </w:pPr>
    </w:p>
    <w:p w14:paraId="13C7C701" w14:textId="77777777" w:rsidR="0055277D" w:rsidRPr="00403306" w:rsidRDefault="0055277D" w:rsidP="008D03B3">
      <w:pPr>
        <w:pStyle w:val="Corpodetexto"/>
        <w:jc w:val="center"/>
        <w:rPr>
          <w:rFonts w:ascii="Arial" w:hAnsi="Arial" w:cs="Arial"/>
          <w:color w:val="FF0000"/>
        </w:rPr>
      </w:pPr>
    </w:p>
    <w:p w14:paraId="065BF42B" w14:textId="77777777" w:rsidR="0055277D" w:rsidRPr="00403306" w:rsidRDefault="0055277D" w:rsidP="008D03B3">
      <w:pPr>
        <w:pStyle w:val="Corpodetexto"/>
        <w:jc w:val="center"/>
        <w:rPr>
          <w:rFonts w:ascii="Arial" w:hAnsi="Arial" w:cs="Arial"/>
          <w:color w:val="FF0000"/>
        </w:rPr>
      </w:pPr>
    </w:p>
    <w:p w14:paraId="26EA19BF" w14:textId="19C3AE6C" w:rsidR="0055277D" w:rsidRPr="00403306" w:rsidRDefault="00E37B73" w:rsidP="008D03B3">
      <w:pPr>
        <w:pStyle w:val="Corpodetexto"/>
        <w:jc w:val="center"/>
        <w:rPr>
          <w:rFonts w:ascii="Arial" w:hAnsi="Arial" w:cs="Arial"/>
          <w:color w:val="FF0000"/>
        </w:rPr>
      </w:pPr>
      <w:r w:rsidRPr="00E37B73">
        <w:rPr>
          <w:rFonts w:ascii="Arial" w:hAnsi="Arial" w:cs="Arial"/>
        </w:rPr>
        <w:t>Saúde mental dos Professores</w:t>
      </w:r>
    </w:p>
    <w:p w14:paraId="7DEA8D66" w14:textId="77777777" w:rsidR="0055277D" w:rsidRPr="00403306" w:rsidRDefault="0055277D" w:rsidP="008D03B3">
      <w:pPr>
        <w:pStyle w:val="Corpodetexto"/>
        <w:jc w:val="center"/>
        <w:rPr>
          <w:rFonts w:ascii="Arial" w:hAnsi="Arial" w:cs="Arial"/>
          <w:color w:val="FF0000"/>
        </w:rPr>
      </w:pPr>
    </w:p>
    <w:p w14:paraId="2A3F7A2B" w14:textId="77777777" w:rsidR="0055277D" w:rsidRPr="00403306" w:rsidRDefault="0055277D" w:rsidP="008D03B3">
      <w:pPr>
        <w:pStyle w:val="Corpodetexto"/>
        <w:jc w:val="center"/>
        <w:rPr>
          <w:rFonts w:ascii="Arial" w:hAnsi="Arial" w:cs="Arial"/>
          <w:color w:val="FF0000"/>
        </w:rPr>
      </w:pPr>
    </w:p>
    <w:p w14:paraId="603E7DB0" w14:textId="77777777" w:rsidR="0055277D" w:rsidRPr="00403306" w:rsidRDefault="0055277D" w:rsidP="008D03B3">
      <w:pPr>
        <w:pStyle w:val="Corpodetexto"/>
        <w:jc w:val="center"/>
        <w:rPr>
          <w:rFonts w:ascii="Arial" w:hAnsi="Arial" w:cs="Arial"/>
          <w:color w:val="FF0000"/>
        </w:rPr>
      </w:pPr>
    </w:p>
    <w:p w14:paraId="550AF255" w14:textId="77777777" w:rsidR="0055277D" w:rsidRPr="00403306" w:rsidRDefault="0055277D" w:rsidP="008D03B3">
      <w:pPr>
        <w:pStyle w:val="Corpodetexto"/>
        <w:jc w:val="center"/>
        <w:rPr>
          <w:rFonts w:ascii="Arial" w:hAnsi="Arial" w:cs="Arial"/>
          <w:color w:val="FF0000"/>
        </w:rPr>
      </w:pPr>
    </w:p>
    <w:p w14:paraId="5654ACD3" w14:textId="77777777" w:rsidR="0055277D" w:rsidRPr="00403306" w:rsidRDefault="0055277D" w:rsidP="008D03B3">
      <w:pPr>
        <w:pStyle w:val="Corpodetexto"/>
        <w:jc w:val="center"/>
        <w:rPr>
          <w:rFonts w:ascii="Arial" w:hAnsi="Arial" w:cs="Arial"/>
          <w:color w:val="FF0000"/>
        </w:rPr>
      </w:pPr>
    </w:p>
    <w:p w14:paraId="34CD6917" w14:textId="77777777" w:rsidR="0055277D" w:rsidRPr="00403306" w:rsidRDefault="0055277D" w:rsidP="008D03B3">
      <w:pPr>
        <w:pStyle w:val="Corpodetexto"/>
        <w:jc w:val="center"/>
        <w:rPr>
          <w:rFonts w:ascii="Arial" w:hAnsi="Arial" w:cs="Arial"/>
          <w:color w:val="FF0000"/>
        </w:rPr>
      </w:pPr>
    </w:p>
    <w:p w14:paraId="4E733891" w14:textId="77777777" w:rsidR="0055277D" w:rsidRPr="00403306" w:rsidRDefault="0055277D" w:rsidP="008D03B3">
      <w:pPr>
        <w:pStyle w:val="Corpodetexto"/>
        <w:jc w:val="center"/>
        <w:rPr>
          <w:rFonts w:ascii="Arial" w:hAnsi="Arial" w:cs="Arial"/>
          <w:color w:val="FF0000"/>
        </w:rPr>
      </w:pPr>
    </w:p>
    <w:p w14:paraId="2758EBC2" w14:textId="77777777" w:rsidR="0055277D" w:rsidRPr="00403306" w:rsidRDefault="0055277D" w:rsidP="008D03B3">
      <w:pPr>
        <w:pStyle w:val="Corpodetexto"/>
        <w:jc w:val="center"/>
        <w:rPr>
          <w:rFonts w:ascii="Arial" w:hAnsi="Arial" w:cs="Arial"/>
          <w:color w:val="FF0000"/>
        </w:rPr>
      </w:pPr>
    </w:p>
    <w:p w14:paraId="4EF11835" w14:textId="77777777" w:rsidR="0055277D" w:rsidRPr="00403306" w:rsidRDefault="0055277D" w:rsidP="008D03B3">
      <w:pPr>
        <w:pStyle w:val="Corpodetexto"/>
        <w:jc w:val="center"/>
        <w:rPr>
          <w:rFonts w:ascii="Arial" w:hAnsi="Arial" w:cs="Arial"/>
          <w:color w:val="FF0000"/>
        </w:rPr>
      </w:pPr>
    </w:p>
    <w:p w14:paraId="68962EF8" w14:textId="77777777" w:rsidR="0055277D" w:rsidRPr="00403306" w:rsidRDefault="0055277D" w:rsidP="008D03B3">
      <w:pPr>
        <w:pStyle w:val="Corpodetexto"/>
        <w:jc w:val="center"/>
        <w:rPr>
          <w:rFonts w:ascii="Arial" w:hAnsi="Arial" w:cs="Arial"/>
          <w:color w:val="FF0000"/>
        </w:rPr>
      </w:pPr>
    </w:p>
    <w:p w14:paraId="3A37A5C7" w14:textId="77777777" w:rsidR="0055277D" w:rsidRPr="00403306" w:rsidRDefault="0055277D" w:rsidP="008D03B3">
      <w:pPr>
        <w:pStyle w:val="Corpodetexto"/>
        <w:jc w:val="center"/>
        <w:rPr>
          <w:rFonts w:ascii="Arial" w:hAnsi="Arial" w:cs="Arial"/>
          <w:color w:val="FF0000"/>
        </w:rPr>
      </w:pPr>
    </w:p>
    <w:p w14:paraId="11B0F3D8" w14:textId="77777777" w:rsidR="0055277D" w:rsidRPr="00403306" w:rsidRDefault="0055277D" w:rsidP="008D03B3">
      <w:pPr>
        <w:pStyle w:val="Corpodetexto"/>
        <w:jc w:val="center"/>
        <w:rPr>
          <w:rFonts w:ascii="Arial" w:hAnsi="Arial" w:cs="Arial"/>
          <w:color w:val="FF0000"/>
        </w:rPr>
      </w:pPr>
    </w:p>
    <w:p w14:paraId="5868C05F" w14:textId="4A2A4EC1" w:rsidR="0055277D" w:rsidRPr="00403306" w:rsidRDefault="0055277D" w:rsidP="008D03B3">
      <w:pPr>
        <w:pStyle w:val="Corpodetexto"/>
        <w:ind w:left="4536"/>
        <w:jc w:val="both"/>
        <w:rPr>
          <w:rFonts w:ascii="Arial" w:hAnsi="Arial" w:cs="Arial"/>
        </w:rPr>
      </w:pPr>
      <w:r w:rsidRPr="00403306">
        <w:rPr>
          <w:rFonts w:ascii="Arial" w:hAnsi="Arial" w:cs="Arial"/>
        </w:rPr>
        <w:t>Trabalho de Conclusão de Curso apresentado(a) à Faculdade Metropolitana do Estado de São Paulo como exigência parcial para obtenção do título</w:t>
      </w:r>
      <w:r w:rsidR="00C27F91">
        <w:rPr>
          <w:rFonts w:ascii="Arial" w:hAnsi="Arial" w:cs="Arial"/>
        </w:rPr>
        <w:t xml:space="preserve"> de Licenciado em Pedagogia</w:t>
      </w:r>
      <w:r w:rsidRPr="00403306">
        <w:rPr>
          <w:rFonts w:ascii="Arial" w:hAnsi="Arial" w:cs="Arial"/>
        </w:rPr>
        <w:t>.</w:t>
      </w:r>
    </w:p>
    <w:p w14:paraId="5006BECF" w14:textId="77777777" w:rsidR="00C13152" w:rsidRDefault="00C13152" w:rsidP="008D03B3">
      <w:pPr>
        <w:pStyle w:val="Corpodetexto"/>
        <w:ind w:left="4536"/>
        <w:jc w:val="both"/>
        <w:rPr>
          <w:rFonts w:ascii="Arial" w:hAnsi="Arial" w:cs="Arial"/>
        </w:rPr>
      </w:pPr>
    </w:p>
    <w:p w14:paraId="45A8EAE2" w14:textId="1D5E91A9" w:rsidR="0055277D" w:rsidRPr="00403306" w:rsidRDefault="00C27F91" w:rsidP="008D03B3">
      <w:pPr>
        <w:pStyle w:val="Corpodetexto"/>
        <w:ind w:left="4536"/>
        <w:jc w:val="both"/>
        <w:rPr>
          <w:rFonts w:ascii="Arial" w:hAnsi="Arial" w:cs="Arial"/>
        </w:rPr>
      </w:pPr>
      <w:r>
        <w:rPr>
          <w:rFonts w:ascii="Arial" w:hAnsi="Arial" w:cs="Arial"/>
        </w:rPr>
        <w:t xml:space="preserve">Orientador: </w:t>
      </w:r>
      <w:r>
        <w:t>P</w:t>
      </w:r>
      <w:r w:rsidR="00D86990">
        <w:t xml:space="preserve">rofa. Me Mariane Mendes Gois Dos Santos. </w:t>
      </w:r>
    </w:p>
    <w:p w14:paraId="7C47A8EE" w14:textId="77777777" w:rsidR="0055277D" w:rsidRPr="00403306" w:rsidRDefault="0055277D" w:rsidP="0055277D">
      <w:pPr>
        <w:pStyle w:val="Corpodetexto"/>
        <w:ind w:left="236" w:right="236"/>
        <w:jc w:val="center"/>
        <w:rPr>
          <w:rFonts w:ascii="Arial" w:hAnsi="Arial" w:cs="Arial"/>
          <w:color w:val="FF0000"/>
        </w:rPr>
      </w:pPr>
    </w:p>
    <w:p w14:paraId="05CB92FF" w14:textId="77777777" w:rsidR="0055277D" w:rsidRPr="00403306" w:rsidRDefault="0055277D" w:rsidP="008D03B3">
      <w:pPr>
        <w:pStyle w:val="Corpodetexto"/>
        <w:jc w:val="center"/>
        <w:rPr>
          <w:rFonts w:ascii="Arial" w:hAnsi="Arial" w:cs="Arial"/>
          <w:color w:val="FF0000"/>
        </w:rPr>
      </w:pPr>
    </w:p>
    <w:p w14:paraId="7E1E9C96" w14:textId="77777777" w:rsidR="0055277D" w:rsidRPr="00403306" w:rsidRDefault="0055277D" w:rsidP="008D03B3">
      <w:pPr>
        <w:pStyle w:val="Corpodetexto"/>
        <w:jc w:val="center"/>
        <w:rPr>
          <w:rFonts w:ascii="Arial" w:hAnsi="Arial" w:cs="Arial"/>
          <w:color w:val="FF0000"/>
        </w:rPr>
      </w:pPr>
    </w:p>
    <w:p w14:paraId="3B30B0E2" w14:textId="77777777" w:rsidR="0055277D" w:rsidRPr="00403306" w:rsidRDefault="0055277D" w:rsidP="008D03B3">
      <w:pPr>
        <w:pStyle w:val="Corpodetexto"/>
        <w:jc w:val="center"/>
        <w:rPr>
          <w:rFonts w:ascii="Arial" w:hAnsi="Arial" w:cs="Arial"/>
          <w:color w:val="FF0000"/>
        </w:rPr>
      </w:pPr>
    </w:p>
    <w:p w14:paraId="0C03D846" w14:textId="77777777" w:rsidR="0055277D" w:rsidRPr="00403306" w:rsidRDefault="0055277D" w:rsidP="008D03B3">
      <w:pPr>
        <w:pStyle w:val="Corpodetexto"/>
        <w:jc w:val="center"/>
        <w:rPr>
          <w:rFonts w:ascii="Arial" w:hAnsi="Arial" w:cs="Arial"/>
          <w:color w:val="FF0000"/>
        </w:rPr>
      </w:pPr>
    </w:p>
    <w:p w14:paraId="3C5E1F74" w14:textId="77777777" w:rsidR="0055277D" w:rsidRPr="00403306" w:rsidRDefault="0055277D" w:rsidP="008D03B3">
      <w:pPr>
        <w:pStyle w:val="Corpodetexto"/>
        <w:jc w:val="center"/>
        <w:rPr>
          <w:rFonts w:ascii="Arial" w:hAnsi="Arial" w:cs="Arial"/>
          <w:color w:val="FF0000"/>
        </w:rPr>
      </w:pPr>
    </w:p>
    <w:p w14:paraId="6DD2E726" w14:textId="77777777" w:rsidR="0055277D" w:rsidRDefault="0055277D" w:rsidP="008D03B3">
      <w:pPr>
        <w:pStyle w:val="Corpodetexto"/>
        <w:jc w:val="center"/>
        <w:rPr>
          <w:rFonts w:ascii="Arial" w:hAnsi="Arial" w:cs="Arial"/>
          <w:color w:val="FF0000"/>
        </w:rPr>
      </w:pPr>
    </w:p>
    <w:p w14:paraId="456D0612" w14:textId="77777777" w:rsidR="008D03B3" w:rsidRDefault="008D03B3" w:rsidP="008D03B3">
      <w:pPr>
        <w:pStyle w:val="Corpodetexto"/>
        <w:jc w:val="center"/>
        <w:rPr>
          <w:rFonts w:ascii="Arial" w:hAnsi="Arial" w:cs="Arial"/>
          <w:color w:val="FF0000"/>
        </w:rPr>
      </w:pPr>
    </w:p>
    <w:p w14:paraId="3A097BF8" w14:textId="77777777" w:rsidR="008D03B3" w:rsidRDefault="008D03B3" w:rsidP="008D03B3">
      <w:pPr>
        <w:pStyle w:val="Corpodetexto"/>
        <w:jc w:val="center"/>
        <w:rPr>
          <w:rFonts w:ascii="Arial" w:hAnsi="Arial" w:cs="Arial"/>
          <w:color w:val="FF0000"/>
        </w:rPr>
      </w:pPr>
    </w:p>
    <w:p w14:paraId="3E92C90F" w14:textId="77777777" w:rsidR="008D03B3" w:rsidRDefault="008D03B3" w:rsidP="008D03B3">
      <w:pPr>
        <w:pStyle w:val="Corpodetexto"/>
        <w:jc w:val="center"/>
        <w:rPr>
          <w:rFonts w:ascii="Arial" w:hAnsi="Arial" w:cs="Arial"/>
          <w:color w:val="FF0000"/>
        </w:rPr>
      </w:pPr>
    </w:p>
    <w:p w14:paraId="2610F5FC" w14:textId="77777777" w:rsidR="008D03B3" w:rsidRDefault="008D03B3" w:rsidP="008D03B3">
      <w:pPr>
        <w:pStyle w:val="Corpodetexto"/>
        <w:jc w:val="center"/>
        <w:rPr>
          <w:rFonts w:ascii="Arial" w:hAnsi="Arial" w:cs="Arial"/>
          <w:color w:val="FF0000"/>
        </w:rPr>
      </w:pPr>
    </w:p>
    <w:p w14:paraId="30912993" w14:textId="77777777" w:rsidR="008D03B3" w:rsidRDefault="008D03B3" w:rsidP="008D03B3">
      <w:pPr>
        <w:pStyle w:val="Corpodetexto"/>
        <w:jc w:val="center"/>
        <w:rPr>
          <w:rFonts w:ascii="Arial" w:hAnsi="Arial" w:cs="Arial"/>
          <w:color w:val="FF0000"/>
        </w:rPr>
      </w:pPr>
    </w:p>
    <w:p w14:paraId="2D965BB5" w14:textId="0DBE803B" w:rsidR="0055277D" w:rsidRPr="00403306" w:rsidRDefault="00E52C81" w:rsidP="008D03B3">
      <w:pPr>
        <w:pStyle w:val="Corpodetexto"/>
        <w:jc w:val="center"/>
        <w:rPr>
          <w:rFonts w:ascii="Arial" w:hAnsi="Arial" w:cs="Arial"/>
        </w:rPr>
      </w:pPr>
      <w:r>
        <w:rPr>
          <w:rFonts w:ascii="Arial" w:hAnsi="Arial" w:cs="Arial"/>
        </w:rPr>
        <w:t>RIBEIRÃO PRETO</w:t>
      </w:r>
      <w:r w:rsidR="0055277D" w:rsidRPr="00403306">
        <w:rPr>
          <w:rFonts w:ascii="Arial" w:hAnsi="Arial" w:cs="Arial"/>
        </w:rPr>
        <w:t xml:space="preserve"> – SP</w:t>
      </w:r>
    </w:p>
    <w:p w14:paraId="7C490930" w14:textId="77777777" w:rsidR="0055277D" w:rsidRPr="00403306" w:rsidRDefault="0055277D" w:rsidP="008D03B3">
      <w:pPr>
        <w:pStyle w:val="Corpodetexto"/>
        <w:jc w:val="center"/>
        <w:rPr>
          <w:rFonts w:ascii="Arial" w:hAnsi="Arial" w:cs="Arial"/>
        </w:rPr>
      </w:pPr>
      <w:r w:rsidRPr="00403306">
        <w:rPr>
          <w:rFonts w:ascii="Arial" w:hAnsi="Arial" w:cs="Arial"/>
          <w:spacing w:val="-4"/>
        </w:rPr>
        <w:t>2025</w:t>
      </w:r>
    </w:p>
    <w:p w14:paraId="2DE781A5" w14:textId="77777777" w:rsidR="00F52B27" w:rsidRPr="00403306" w:rsidRDefault="00F52B27">
      <w:pPr>
        <w:spacing w:line="321" w:lineRule="exact"/>
        <w:jc w:val="center"/>
        <w:rPr>
          <w:rFonts w:ascii="Arial" w:hAnsi="Arial" w:cs="Arial"/>
          <w:sz w:val="28"/>
        </w:rPr>
        <w:sectPr w:rsidR="00F52B27" w:rsidRPr="00403306" w:rsidSect="008D03B3">
          <w:pgSz w:w="11910" w:h="16840" w:code="9"/>
          <w:pgMar w:top="1701" w:right="1134" w:bottom="1134" w:left="1701" w:header="720" w:footer="720" w:gutter="0"/>
          <w:cols w:space="720"/>
          <w:docGrid w:linePitch="299"/>
        </w:sectPr>
      </w:pPr>
    </w:p>
    <w:p w14:paraId="543F6ED7" w14:textId="77777777" w:rsidR="00135365" w:rsidRPr="00403306" w:rsidRDefault="00135365" w:rsidP="00135365">
      <w:pPr>
        <w:rPr>
          <w:rFonts w:ascii="Arial" w:hAnsi="Arial" w:cs="Arial"/>
          <w:spacing w:val="-2"/>
        </w:rPr>
      </w:pPr>
    </w:p>
    <w:p w14:paraId="365069A4" w14:textId="77777777" w:rsidR="00135365" w:rsidRPr="00403306" w:rsidRDefault="00135365" w:rsidP="00135365">
      <w:pPr>
        <w:rPr>
          <w:rFonts w:ascii="Arial" w:hAnsi="Arial" w:cs="Arial"/>
          <w:spacing w:val="-2"/>
        </w:rPr>
      </w:pPr>
    </w:p>
    <w:p w14:paraId="5CB68522" w14:textId="77777777" w:rsidR="00135365" w:rsidRPr="00403306" w:rsidRDefault="00135365" w:rsidP="00135365">
      <w:pPr>
        <w:rPr>
          <w:rFonts w:ascii="Arial" w:hAnsi="Arial" w:cs="Arial"/>
          <w:spacing w:val="-2"/>
        </w:rPr>
      </w:pPr>
    </w:p>
    <w:p w14:paraId="615ABC97" w14:textId="77777777" w:rsidR="00135365" w:rsidRPr="00403306" w:rsidRDefault="00135365" w:rsidP="00135365">
      <w:pPr>
        <w:rPr>
          <w:rFonts w:ascii="Arial" w:hAnsi="Arial" w:cs="Arial"/>
          <w:spacing w:val="-2"/>
        </w:rPr>
      </w:pPr>
    </w:p>
    <w:p w14:paraId="26A47E1C" w14:textId="77777777" w:rsidR="00135365" w:rsidRPr="00403306" w:rsidRDefault="00135365" w:rsidP="00135365">
      <w:pPr>
        <w:rPr>
          <w:rFonts w:ascii="Arial" w:hAnsi="Arial" w:cs="Arial"/>
          <w:spacing w:val="-2"/>
        </w:rPr>
      </w:pPr>
    </w:p>
    <w:p w14:paraId="3EF7B402" w14:textId="77777777" w:rsidR="00135365" w:rsidRPr="00403306" w:rsidRDefault="00135365" w:rsidP="00135365">
      <w:pPr>
        <w:rPr>
          <w:rFonts w:ascii="Arial" w:hAnsi="Arial" w:cs="Arial"/>
          <w:spacing w:val="-2"/>
        </w:rPr>
      </w:pPr>
    </w:p>
    <w:p w14:paraId="7E807342" w14:textId="77777777" w:rsidR="00135365" w:rsidRPr="00403306" w:rsidRDefault="00135365" w:rsidP="00135365">
      <w:pPr>
        <w:rPr>
          <w:rFonts w:ascii="Arial" w:hAnsi="Arial" w:cs="Arial"/>
          <w:spacing w:val="-2"/>
        </w:rPr>
      </w:pPr>
    </w:p>
    <w:p w14:paraId="4D6550CD" w14:textId="77777777" w:rsidR="00135365" w:rsidRPr="00403306" w:rsidRDefault="00135365" w:rsidP="00135365">
      <w:pPr>
        <w:rPr>
          <w:rFonts w:ascii="Arial" w:hAnsi="Arial" w:cs="Arial"/>
          <w:spacing w:val="-2"/>
        </w:rPr>
      </w:pPr>
    </w:p>
    <w:p w14:paraId="4EA5A2E2" w14:textId="20D2ADE1" w:rsidR="00135365" w:rsidRPr="00403306" w:rsidRDefault="00135365" w:rsidP="00135365">
      <w:pPr>
        <w:rPr>
          <w:rFonts w:ascii="Arial" w:hAnsi="Arial" w:cs="Arial"/>
        </w:rPr>
      </w:pPr>
      <w:r w:rsidRPr="00403306">
        <w:rPr>
          <w:rFonts w:ascii="Arial" w:hAnsi="Arial" w:cs="Arial"/>
          <w:spacing w:val="-2"/>
        </w:rPr>
        <w:t xml:space="preserve">Catalogação-na-Publicação </w:t>
      </w:r>
      <w:r w:rsidRPr="00403306">
        <w:rPr>
          <w:rFonts w:ascii="Arial" w:hAnsi="Arial" w:cs="Arial"/>
        </w:rPr>
        <w:t>Biblioteca</w:t>
      </w:r>
      <w:r w:rsidRPr="00403306">
        <w:rPr>
          <w:rFonts w:ascii="Arial" w:hAnsi="Arial" w:cs="Arial"/>
          <w:spacing w:val="-3"/>
        </w:rPr>
        <w:t xml:space="preserve"> </w:t>
      </w:r>
      <w:r w:rsidRPr="00403306">
        <w:rPr>
          <w:rFonts w:ascii="Arial" w:hAnsi="Arial" w:cs="Arial"/>
          <w:spacing w:val="-2"/>
        </w:rPr>
        <w:t>METROPOLITANA</w:t>
      </w:r>
    </w:p>
    <w:p w14:paraId="43668D5F" w14:textId="77777777" w:rsidR="00135365" w:rsidRPr="00403306" w:rsidRDefault="00135365" w:rsidP="00135365">
      <w:pPr>
        <w:pStyle w:val="Corpodetexto"/>
        <w:spacing w:before="22"/>
        <w:rPr>
          <w:rFonts w:ascii="Arial" w:hAnsi="Arial" w:cs="Arial"/>
          <w:sz w:val="20"/>
        </w:rPr>
      </w:pPr>
      <w:r w:rsidRPr="00403306">
        <w:rPr>
          <w:rFonts w:ascii="Arial" w:hAnsi="Arial" w:cs="Arial"/>
          <w:noProof/>
          <w:sz w:val="20"/>
          <w:lang w:val="pt-BR" w:eastAsia="pt-BR"/>
        </w:rPr>
        <mc:AlternateContent>
          <mc:Choice Requires="wps">
            <w:drawing>
              <wp:anchor distT="0" distB="0" distL="0" distR="0" simplePos="0" relativeHeight="251659264" behindDoc="1" locked="0" layoutInCell="1" allowOverlap="1" wp14:anchorId="7A562352" wp14:editId="5595F65A">
                <wp:simplePos x="0" y="0"/>
                <wp:positionH relativeFrom="page">
                  <wp:posOffset>1440433</wp:posOffset>
                </wp:positionH>
                <wp:positionV relativeFrom="paragraph">
                  <wp:posOffset>178882</wp:posOffset>
                </wp:positionV>
                <wp:extent cx="4953000" cy="421322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0" cy="4213225"/>
                        </a:xfrm>
                        <a:prstGeom prst="rect">
                          <a:avLst/>
                        </a:prstGeom>
                        <a:ln w="6096">
                          <a:solidFill>
                            <a:srgbClr val="000000"/>
                          </a:solidFill>
                          <a:prstDash val="solid"/>
                        </a:ln>
                      </wps:spPr>
                      <wps:txbx>
                        <w:txbxContent>
                          <w:p w14:paraId="58578FC5" w14:textId="4CD05467" w:rsidR="00492DCA" w:rsidRDefault="00492DCA" w:rsidP="00492DCA">
                            <w:pPr>
                              <w:pStyle w:val="Corpodetexto"/>
                              <w:ind w:left="904"/>
                            </w:pPr>
                            <w:r>
                              <w:t>Paixão; Gisele Cristina; Silva, Michelle Cristina da; Santos, Roberta Braga de Andrade</w:t>
                            </w:r>
                            <w:r w:rsidR="00E92707">
                              <w:t xml:space="preserve"> dos</w:t>
                            </w:r>
                            <w:r>
                              <w:t>.</w:t>
                            </w:r>
                          </w:p>
                          <w:p w14:paraId="32335CAD" w14:textId="5FCCD05B" w:rsidR="00492DCA" w:rsidRDefault="00492DCA" w:rsidP="00492DCA">
                            <w:pPr>
                              <w:pStyle w:val="Corpodetexto"/>
                              <w:tabs>
                                <w:tab w:val="left" w:pos="1680"/>
                              </w:tabs>
                              <w:spacing w:before="139" w:line="360" w:lineRule="auto"/>
                              <w:ind w:left="972" w:right="359" w:hanging="870"/>
                            </w:pPr>
                            <w:r>
                              <w:rPr>
                                <w:spacing w:val="-2"/>
                              </w:rPr>
                              <w:t>G196i</w:t>
                            </w:r>
                            <w:r>
                              <w:tab/>
                            </w:r>
                            <w:r>
                              <w:tab/>
                              <w:t>Saúde Mental dos Professores /</w:t>
                            </w:r>
                            <w:r>
                              <w:rPr>
                                <w:spacing w:val="-3"/>
                              </w:rPr>
                              <w:t xml:space="preserve"> </w:t>
                            </w:r>
                            <w:r>
                              <w:t>Gisele Cristina Paixão; Michelle Cristina da Silva; Roberta Braga de Andrade dos Santos. – Ribeirão Preto, 2025.</w:t>
                            </w:r>
                          </w:p>
                          <w:p w14:paraId="777716BC" w14:textId="6CE3590D" w:rsidR="00492DCA" w:rsidRDefault="00492DCA" w:rsidP="00492DCA">
                            <w:pPr>
                              <w:pStyle w:val="Corpodetexto"/>
                            </w:pPr>
                            <w:r>
                              <w:t>57</w:t>
                            </w:r>
                            <w:r>
                              <w:rPr>
                                <w:spacing w:val="-5"/>
                              </w:rPr>
                              <w:t xml:space="preserve"> f.</w:t>
                            </w:r>
                          </w:p>
                          <w:p w14:paraId="2EB02BD9" w14:textId="77777777" w:rsidR="00492DCA" w:rsidRDefault="00492DCA" w:rsidP="00492DCA">
                            <w:pPr>
                              <w:pStyle w:val="Corpodetexto"/>
                            </w:pPr>
                          </w:p>
                          <w:p w14:paraId="378EFFEB" w14:textId="77777777" w:rsidR="00492DCA" w:rsidRDefault="00492DCA" w:rsidP="00492DCA">
                            <w:pPr>
                              <w:pStyle w:val="Corpodetexto"/>
                              <w:spacing w:before="1"/>
                            </w:pPr>
                          </w:p>
                          <w:p w14:paraId="03FCBD48" w14:textId="77777777" w:rsidR="00492DCA" w:rsidRDefault="00492DCA" w:rsidP="00492DCA">
                            <w:pPr>
                              <w:pStyle w:val="Corpodetexto"/>
                              <w:ind w:left="1639"/>
                            </w:pPr>
                            <w:r>
                              <w:t>Orientadora:</w:t>
                            </w:r>
                            <w:r>
                              <w:rPr>
                                <w:spacing w:val="-6"/>
                              </w:rPr>
                              <w:t xml:space="preserve"> </w:t>
                            </w:r>
                            <w:r>
                              <w:t>Profa. Me. Mariane Mendes Gois dos Santos</w:t>
                            </w:r>
                          </w:p>
                          <w:p w14:paraId="11F61DA5" w14:textId="77777777" w:rsidR="00492DCA" w:rsidRDefault="00492DCA" w:rsidP="00492DCA">
                            <w:pPr>
                              <w:pStyle w:val="Corpodetexto"/>
                              <w:spacing w:before="137" w:line="360" w:lineRule="auto"/>
                              <w:ind w:left="103" w:firstLine="1536"/>
                            </w:pPr>
                            <w:r>
                              <w:t>Monografia</w:t>
                            </w:r>
                            <w:r>
                              <w:rPr>
                                <w:spacing w:val="-10"/>
                              </w:rPr>
                              <w:t xml:space="preserve"> </w:t>
                            </w:r>
                            <w:r>
                              <w:t>(Graduação)</w:t>
                            </w:r>
                            <w:r>
                              <w:rPr>
                                <w:spacing w:val="-12"/>
                              </w:rPr>
                              <w:t xml:space="preserve"> </w:t>
                            </w:r>
                            <w:r>
                              <w:t>–</w:t>
                            </w:r>
                            <w:r>
                              <w:rPr>
                                <w:spacing w:val="-11"/>
                              </w:rPr>
                              <w:t xml:space="preserve"> </w:t>
                            </w:r>
                            <w:r>
                              <w:t>Faculdade</w:t>
                            </w:r>
                            <w:r>
                              <w:rPr>
                                <w:spacing w:val="-10"/>
                              </w:rPr>
                              <w:t xml:space="preserve"> </w:t>
                            </w:r>
                            <w:r>
                              <w:t>Metropolitana do Estado de São Paulo, Licenciatura em Pedagogia, 2025.</w:t>
                            </w:r>
                          </w:p>
                          <w:p w14:paraId="29DBF60B" w14:textId="77777777" w:rsidR="00492DCA" w:rsidRDefault="00492DCA" w:rsidP="00492DCA">
                            <w:pPr>
                              <w:pStyle w:val="Corpodetexto"/>
                              <w:spacing w:before="138"/>
                            </w:pPr>
                          </w:p>
                          <w:p w14:paraId="767AD930" w14:textId="2C8FF7FD" w:rsidR="00492DCA" w:rsidRDefault="00492DCA" w:rsidP="00492DCA">
                            <w:pPr>
                              <w:pStyle w:val="Corpodetexto"/>
                              <w:spacing w:line="360" w:lineRule="auto"/>
                              <w:ind w:left="1039" w:right="359"/>
                            </w:pPr>
                            <w:r>
                              <w:t xml:space="preserve">1. </w:t>
                            </w:r>
                            <w:r w:rsidRPr="00492DCA">
                              <w:t>Saúde Mental</w:t>
                            </w:r>
                            <w:r>
                              <w:t xml:space="preserve">. 2. </w:t>
                            </w:r>
                            <w:r w:rsidRPr="00492DCA">
                              <w:t>Professores</w:t>
                            </w:r>
                            <w:r>
                              <w:t xml:space="preserve">. 3. </w:t>
                            </w:r>
                            <w:r w:rsidRPr="00492DCA">
                              <w:t>Burnout</w:t>
                            </w:r>
                            <w:r>
                              <w:t>. I.</w:t>
                            </w:r>
                            <w:r>
                              <w:rPr>
                                <w:spacing w:val="-5"/>
                              </w:rPr>
                              <w:t xml:space="preserve"> </w:t>
                            </w:r>
                            <w:r>
                              <w:t>Santos, Mariane Mendes Gois, orient. II. Título</w:t>
                            </w:r>
                          </w:p>
                          <w:p w14:paraId="61EAF46E" w14:textId="77777777" w:rsidR="00492DCA" w:rsidRDefault="00492DCA" w:rsidP="00492DCA">
                            <w:pPr>
                              <w:pStyle w:val="Corpodetexto"/>
                              <w:spacing w:before="139"/>
                            </w:pPr>
                          </w:p>
                          <w:p w14:paraId="0DB012AE" w14:textId="77777777" w:rsidR="00492DCA" w:rsidRDefault="00492DCA" w:rsidP="00492DCA">
                            <w:pPr>
                              <w:pStyle w:val="Corpodetexto"/>
                              <w:spacing w:before="1"/>
                              <w:ind w:right="101"/>
                              <w:jc w:val="right"/>
                            </w:pPr>
                            <w:r>
                              <w:t>CDD</w:t>
                            </w:r>
                            <w:r>
                              <w:rPr>
                                <w:spacing w:val="-4"/>
                              </w:rPr>
                              <w:t xml:space="preserve"> </w:t>
                            </w:r>
                            <w:r>
                              <w:t>370</w:t>
                            </w:r>
                          </w:p>
                          <w:p w14:paraId="76B53F6C" w14:textId="48B13536" w:rsidR="00C84713" w:rsidRDefault="00C84713" w:rsidP="00135365">
                            <w:pPr>
                              <w:pStyle w:val="Corpodetexto"/>
                              <w:spacing w:before="1"/>
                              <w:ind w:right="101"/>
                              <w:jc w:val="right"/>
                            </w:pP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562352" id="_x0000_t202" coordsize="21600,21600" o:spt="202" path="m,l,21600r21600,l21600,xe">
                <v:stroke joinstyle="miter"/>
                <v:path gradientshapeok="t" o:connecttype="rect"/>
              </v:shapetype>
              <v:shape id="Textbox 10" o:spid="_x0000_s1026" type="#_x0000_t202" style="position:absolute;margin-left:113.4pt;margin-top:14.1pt;width:390pt;height:331.7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" filled="f" strokeweight=".48pt">
                <v:path arrowok="t"/>
                <v:textbox inset="0,0,0,0">
                  <w:txbxContent>
                    <w:p w14:paraId="58578FC5" w14:textId="4CD05467" w:rsidR="00492DCA" w:rsidRDefault="00492DCA" w:rsidP="00492DCA">
                      <w:pPr>
                        <w:pStyle w:val="Corpodetexto"/>
                        <w:ind w:left="904"/>
                      </w:pPr>
                      <w:r>
                        <w:t>Paixão; Gisele Cristina; Silva, Michelle Cristina da; Santos, Roberta Braga de Andrade</w:t>
                      </w:r>
                      <w:r w:rsidR="00E92707">
                        <w:t xml:space="preserve"> dos</w:t>
                      </w:r>
                      <w:r>
                        <w:t>.</w:t>
                      </w:r>
                    </w:p>
                    <w:p w14:paraId="32335CAD" w14:textId="5FCCD05B" w:rsidR="00492DCA" w:rsidRDefault="00492DCA" w:rsidP="00492DCA">
                      <w:pPr>
                        <w:pStyle w:val="Corpodetexto"/>
                        <w:tabs>
                          <w:tab w:val="left" w:pos="1680"/>
                        </w:tabs>
                        <w:spacing w:before="139" w:line="360" w:lineRule="auto"/>
                        <w:ind w:left="972" w:right="359" w:hanging="870"/>
                      </w:pPr>
                      <w:r>
                        <w:rPr>
                          <w:spacing w:val="-2"/>
                        </w:rPr>
                        <w:t>G196i</w:t>
                      </w:r>
                      <w:r>
                        <w:tab/>
                      </w:r>
                      <w:r>
                        <w:tab/>
                      </w:r>
                      <w:r>
                        <w:t xml:space="preserve">Saúde Mental dos Professores </w:t>
                      </w:r>
                      <w:r>
                        <w:t>/</w:t>
                      </w:r>
                      <w:r>
                        <w:rPr>
                          <w:spacing w:val="-3"/>
                        </w:rPr>
                        <w:t xml:space="preserve"> </w:t>
                      </w:r>
                      <w:r>
                        <w:t>Gisele Cristina Paixão</w:t>
                      </w:r>
                      <w:r>
                        <w:t xml:space="preserve">; </w:t>
                      </w:r>
                      <w:r>
                        <w:t>Michelle Cristina da Silva</w:t>
                      </w:r>
                      <w:r>
                        <w:t xml:space="preserve">; </w:t>
                      </w:r>
                      <w:r>
                        <w:t>Roberta Braga de Andrade dos Santos. – Ribeirão Preto, 2025.</w:t>
                      </w:r>
                    </w:p>
                    <w:p w14:paraId="777716BC" w14:textId="6CE3590D" w:rsidR="00492DCA" w:rsidRDefault="00492DCA" w:rsidP="00492DCA">
                      <w:pPr>
                        <w:pStyle w:val="Corpodetexto"/>
                      </w:pPr>
                      <w:r>
                        <w:t>57</w:t>
                      </w:r>
                      <w:r>
                        <w:rPr>
                          <w:spacing w:val="-5"/>
                        </w:rPr>
                        <w:t xml:space="preserve"> f.</w:t>
                      </w:r>
                    </w:p>
                    <w:p w14:paraId="2EB02BD9" w14:textId="77777777" w:rsidR="00492DCA" w:rsidRDefault="00492DCA" w:rsidP="00492DCA">
                      <w:pPr>
                        <w:pStyle w:val="Corpodetexto"/>
                      </w:pPr>
                    </w:p>
                    <w:p w14:paraId="378EFFEB" w14:textId="77777777" w:rsidR="00492DCA" w:rsidRDefault="00492DCA" w:rsidP="00492DCA">
                      <w:pPr>
                        <w:pStyle w:val="Corpodetexto"/>
                        <w:spacing w:before="1"/>
                      </w:pPr>
                    </w:p>
                    <w:p w14:paraId="03FCBD48" w14:textId="77777777" w:rsidR="00492DCA" w:rsidRDefault="00492DCA" w:rsidP="00492DCA">
                      <w:pPr>
                        <w:pStyle w:val="Corpodetexto"/>
                        <w:ind w:left="1639"/>
                      </w:pPr>
                      <w:r>
                        <w:t>Orientadora:</w:t>
                      </w:r>
                      <w:r>
                        <w:rPr>
                          <w:spacing w:val="-6"/>
                        </w:rPr>
                        <w:t xml:space="preserve"> </w:t>
                      </w:r>
                      <w:r>
                        <w:t>Profa. Me. Mariane Mendes Gois dos Santos</w:t>
                      </w:r>
                    </w:p>
                    <w:p w14:paraId="11F61DA5" w14:textId="77777777" w:rsidR="00492DCA" w:rsidRDefault="00492DCA" w:rsidP="00492DCA">
                      <w:pPr>
                        <w:pStyle w:val="Corpodetexto"/>
                        <w:spacing w:before="137" w:line="360" w:lineRule="auto"/>
                        <w:ind w:left="103" w:firstLine="1536"/>
                      </w:pPr>
                      <w:r>
                        <w:t>Monografia</w:t>
                      </w:r>
                      <w:r>
                        <w:rPr>
                          <w:spacing w:val="-10"/>
                        </w:rPr>
                        <w:t xml:space="preserve"> </w:t>
                      </w:r>
                      <w:r>
                        <w:t>(Graduação)</w:t>
                      </w:r>
                      <w:r>
                        <w:rPr>
                          <w:spacing w:val="-12"/>
                        </w:rPr>
                        <w:t xml:space="preserve"> </w:t>
                      </w:r>
                      <w:r>
                        <w:t>–</w:t>
                      </w:r>
                      <w:r>
                        <w:rPr>
                          <w:spacing w:val="-11"/>
                        </w:rPr>
                        <w:t xml:space="preserve"> </w:t>
                      </w:r>
                      <w:r>
                        <w:t>Faculdade</w:t>
                      </w:r>
                      <w:r>
                        <w:rPr>
                          <w:spacing w:val="-10"/>
                        </w:rPr>
                        <w:t xml:space="preserve"> </w:t>
                      </w:r>
                      <w:r>
                        <w:t>Metropolitana do Estado de São Paulo, Licenciatura em Pedagogia, 2025.</w:t>
                      </w:r>
                    </w:p>
                    <w:p w14:paraId="29DBF60B" w14:textId="77777777" w:rsidR="00492DCA" w:rsidRDefault="00492DCA" w:rsidP="00492DCA">
                      <w:pPr>
                        <w:pStyle w:val="Corpodetexto"/>
                        <w:spacing w:before="138"/>
                      </w:pPr>
                    </w:p>
                    <w:p w14:paraId="767AD930" w14:textId="2C8FF7FD" w:rsidR="00492DCA" w:rsidRDefault="00492DCA" w:rsidP="00492DCA">
                      <w:pPr>
                        <w:pStyle w:val="Corpodetexto"/>
                        <w:spacing w:line="360" w:lineRule="auto"/>
                        <w:ind w:left="1039" w:right="359"/>
                      </w:pPr>
                      <w:r>
                        <w:t xml:space="preserve">1. </w:t>
                      </w:r>
                      <w:r w:rsidRPr="00492DCA">
                        <w:t>Saúde Mental</w:t>
                      </w:r>
                      <w:r>
                        <w:t xml:space="preserve">. 2. </w:t>
                      </w:r>
                      <w:r w:rsidRPr="00492DCA">
                        <w:t>Professores</w:t>
                      </w:r>
                      <w:r>
                        <w:t xml:space="preserve">. 3. </w:t>
                      </w:r>
                      <w:r w:rsidRPr="00492DCA">
                        <w:t>Burnout</w:t>
                      </w:r>
                      <w:r>
                        <w:t xml:space="preserve">. </w:t>
                      </w:r>
                      <w:r>
                        <w:t>I.</w:t>
                      </w:r>
                      <w:r>
                        <w:rPr>
                          <w:spacing w:val="-5"/>
                        </w:rPr>
                        <w:t xml:space="preserve"> </w:t>
                      </w:r>
                      <w:r>
                        <w:t>Santos, Mariane Mendes Gois, orient. II. Título</w:t>
                      </w:r>
                    </w:p>
                    <w:p w14:paraId="61EAF46E" w14:textId="77777777" w:rsidR="00492DCA" w:rsidRDefault="00492DCA" w:rsidP="00492DCA">
                      <w:pPr>
                        <w:pStyle w:val="Corpodetexto"/>
                        <w:spacing w:before="139"/>
                      </w:pPr>
                    </w:p>
                    <w:p w14:paraId="0DB012AE" w14:textId="77777777" w:rsidR="00492DCA" w:rsidRDefault="00492DCA" w:rsidP="00492DCA">
                      <w:pPr>
                        <w:pStyle w:val="Corpodetexto"/>
                        <w:spacing w:before="1"/>
                        <w:ind w:right="101"/>
                        <w:jc w:val="right"/>
                      </w:pPr>
                      <w:r>
                        <w:t>CDD</w:t>
                      </w:r>
                      <w:r>
                        <w:rPr>
                          <w:spacing w:val="-4"/>
                        </w:rPr>
                        <w:t xml:space="preserve"> </w:t>
                      </w:r>
                      <w:r>
                        <w:t>370</w:t>
                      </w:r>
                    </w:p>
                    <w:p w14:paraId="76B53F6C" w14:textId="48B13536" w:rsidR="00C84713" w:rsidRDefault="00C84713" w:rsidP="00135365">
                      <w:pPr>
                        <w:pStyle w:val="Corpodetexto"/>
                        <w:spacing w:before="1"/>
                        <w:ind w:right="101"/>
                        <w:jc w:val="right"/>
                      </w:pPr>
                    </w:p>
                  </w:txbxContent>
                </v:textbox>
                <w10:wrap type="topAndBottom" anchorx="page"/>
              </v:shape>
            </w:pict>
          </mc:Fallback>
        </mc:AlternateContent>
      </w:r>
    </w:p>
    <w:p w14:paraId="504A441C" w14:textId="77777777" w:rsidR="00135365" w:rsidRPr="00403306" w:rsidRDefault="00135365" w:rsidP="00135365">
      <w:pPr>
        <w:pStyle w:val="Corpodetexto"/>
        <w:spacing w:before="142"/>
        <w:rPr>
          <w:rFonts w:ascii="Arial" w:hAnsi="Arial" w:cs="Arial"/>
        </w:rPr>
      </w:pPr>
    </w:p>
    <w:p w14:paraId="4C23D4C4" w14:textId="77777777" w:rsidR="00135365" w:rsidRPr="00403306" w:rsidRDefault="00135365" w:rsidP="00135365">
      <w:pPr>
        <w:pStyle w:val="Corpodetexto"/>
        <w:ind w:left="2" w:right="136"/>
        <w:jc w:val="both"/>
        <w:rPr>
          <w:rFonts w:ascii="Arial" w:hAnsi="Arial" w:cs="Arial"/>
        </w:rPr>
      </w:pPr>
      <w:r w:rsidRPr="00403306">
        <w:rPr>
          <w:rFonts w:ascii="Arial" w:hAnsi="Arial" w:cs="Arial"/>
        </w:rPr>
        <w:t>AUTORIZO A REPRODUÇÃO E DIVULGAÇÃO TOTAL OU PARCIAL DESTE TRABALHO, POR QUALQUER MEIO DE COMUNICAÇÃO CONVENCIONAL OU ELETRÔNICO, PARA FINS DE ESTUDO E PESQUISA, DESDE QUE CITADA A FONTE E COMUNICADO AOS AUTORES A REFERÊNCIA DA CITAÇÃO.</w:t>
      </w:r>
    </w:p>
    <w:p w14:paraId="15A640F1" w14:textId="77777777" w:rsidR="00135365" w:rsidRPr="00403306" w:rsidRDefault="00135365" w:rsidP="00135365">
      <w:pPr>
        <w:pStyle w:val="Corpodetexto"/>
        <w:rPr>
          <w:rFonts w:ascii="Arial" w:hAnsi="Arial" w:cs="Arial"/>
        </w:rPr>
      </w:pPr>
    </w:p>
    <w:p w14:paraId="261619F2" w14:textId="77777777" w:rsidR="00135365" w:rsidRPr="00403306" w:rsidRDefault="00135365" w:rsidP="00135365">
      <w:pPr>
        <w:pStyle w:val="Corpodetexto"/>
        <w:rPr>
          <w:rFonts w:ascii="Arial" w:hAnsi="Arial" w:cs="Arial"/>
        </w:rPr>
      </w:pPr>
    </w:p>
    <w:p w14:paraId="38EE1BD3" w14:textId="77777777" w:rsidR="00135365" w:rsidRPr="00403306" w:rsidRDefault="00135365" w:rsidP="00135365">
      <w:pPr>
        <w:pStyle w:val="Corpodetexto"/>
        <w:rPr>
          <w:rFonts w:ascii="Arial" w:hAnsi="Arial" w:cs="Arial"/>
        </w:rPr>
      </w:pPr>
    </w:p>
    <w:p w14:paraId="21AE4F5C" w14:textId="4F9E13B3" w:rsidR="00135365" w:rsidRPr="00403306" w:rsidRDefault="00135365" w:rsidP="00135365">
      <w:pPr>
        <w:pStyle w:val="Corpodetexto"/>
        <w:ind w:left="2"/>
        <w:rPr>
          <w:rFonts w:ascii="Arial" w:hAnsi="Arial" w:cs="Arial"/>
        </w:rPr>
      </w:pPr>
      <w:r w:rsidRPr="00403306">
        <w:rPr>
          <w:rFonts w:ascii="Arial" w:hAnsi="Arial" w:cs="Arial"/>
        </w:rPr>
        <w:t>Ribeirão</w:t>
      </w:r>
      <w:r w:rsidRPr="00403306">
        <w:rPr>
          <w:rFonts w:ascii="Arial" w:hAnsi="Arial" w:cs="Arial"/>
          <w:spacing w:val="-5"/>
        </w:rPr>
        <w:t xml:space="preserve"> </w:t>
      </w:r>
      <w:r w:rsidRPr="00403306">
        <w:rPr>
          <w:rFonts w:ascii="Arial" w:hAnsi="Arial" w:cs="Arial"/>
        </w:rPr>
        <w:t>Preto,</w:t>
      </w:r>
      <w:r w:rsidRPr="00403306">
        <w:rPr>
          <w:rFonts w:ascii="Arial" w:hAnsi="Arial" w:cs="Arial"/>
          <w:spacing w:val="-6"/>
        </w:rPr>
        <w:t xml:space="preserve"> </w:t>
      </w:r>
      <w:r w:rsidR="00E60A37">
        <w:rPr>
          <w:rFonts w:ascii="Arial" w:hAnsi="Arial" w:cs="Arial"/>
          <w:spacing w:val="-2"/>
        </w:rPr>
        <w:t>06/11</w:t>
      </w:r>
      <w:r w:rsidRPr="00403306">
        <w:rPr>
          <w:rFonts w:ascii="Arial" w:hAnsi="Arial" w:cs="Arial"/>
          <w:spacing w:val="-2"/>
        </w:rPr>
        <w:t>/2025.</w:t>
      </w:r>
    </w:p>
    <w:p w14:paraId="7C8B69C6" w14:textId="26ED6BF5" w:rsidR="00135365" w:rsidRPr="00403306" w:rsidRDefault="00135365" w:rsidP="00135365">
      <w:pPr>
        <w:pStyle w:val="Corpodetexto"/>
        <w:rPr>
          <w:rFonts w:ascii="Arial" w:hAnsi="Arial" w:cs="Arial"/>
        </w:rPr>
      </w:pPr>
      <w:r w:rsidRPr="00403306">
        <w:rPr>
          <w:rFonts w:ascii="Arial" w:hAnsi="Arial" w:cs="Arial"/>
        </w:rPr>
        <w:br w:type="page"/>
      </w:r>
    </w:p>
    <w:p w14:paraId="6AE855A6" w14:textId="77777777" w:rsidR="00C27F91" w:rsidRPr="00C27F91" w:rsidRDefault="00C27F91" w:rsidP="00C27F91">
      <w:pPr>
        <w:pStyle w:val="Corpodetexto"/>
        <w:spacing w:before="138"/>
        <w:rPr>
          <w:rFonts w:ascii="Arial" w:hAnsi="Arial" w:cs="Arial"/>
        </w:rPr>
      </w:pPr>
      <w:r w:rsidRPr="00C27F91">
        <w:rPr>
          <w:rFonts w:ascii="Arial" w:hAnsi="Arial" w:cs="Arial"/>
        </w:rPr>
        <w:lastRenderedPageBreak/>
        <w:t>Dedicatória</w:t>
      </w:r>
    </w:p>
    <w:p w14:paraId="6E2AA34F" w14:textId="0FA44E5B" w:rsidR="00C27F91" w:rsidRDefault="00C27F91" w:rsidP="00C27F91">
      <w:pPr>
        <w:pStyle w:val="Corpodetexto"/>
        <w:spacing w:before="138"/>
        <w:rPr>
          <w:rFonts w:ascii="Arial" w:hAnsi="Arial" w:cs="Arial"/>
        </w:rPr>
      </w:pPr>
    </w:p>
    <w:p w14:paraId="023FF322" w14:textId="5B106EE8" w:rsidR="00C27F91" w:rsidRPr="00B51677" w:rsidRDefault="00B51677" w:rsidP="00C27F91">
      <w:pPr>
        <w:pStyle w:val="Corpodetexto"/>
        <w:spacing w:before="138"/>
        <w:rPr>
          <w:rFonts w:ascii="Arial" w:hAnsi="Arial" w:cs="Arial"/>
          <w:b/>
        </w:rPr>
      </w:pPr>
      <w:r w:rsidRPr="00B51677">
        <w:rPr>
          <w:rFonts w:ascii="Arial" w:hAnsi="Arial" w:cs="Arial"/>
          <w:b/>
        </w:rPr>
        <w:t>Michelle Cristina da Silva</w:t>
      </w:r>
    </w:p>
    <w:p w14:paraId="1D378D83" w14:textId="77777777" w:rsidR="008D03B3" w:rsidRDefault="008D03B3" w:rsidP="008D03B3">
      <w:pPr>
        <w:pStyle w:val="12"/>
      </w:pPr>
    </w:p>
    <w:p w14:paraId="3768C415" w14:textId="37A3AD2E" w:rsidR="00C27F91" w:rsidRPr="00C27F91" w:rsidRDefault="00C27F91" w:rsidP="00E60A37">
      <w:pPr>
        <w:pStyle w:val="12"/>
      </w:pPr>
      <w:r w:rsidRPr="00C27F91">
        <w:t xml:space="preserve">Primeiramente, agradeço a Deus, pois sem Ele nada disso teria sido possível. Foi Sua presença constante que me deu força, sabedoria </w:t>
      </w:r>
      <w:r w:rsidR="00B51677">
        <w:t>e coragem para chegar até aqui.</w:t>
      </w:r>
    </w:p>
    <w:p w14:paraId="656DD7E2" w14:textId="258E40F9" w:rsidR="00C27F91" w:rsidRPr="00C27F91" w:rsidRDefault="00C27F91" w:rsidP="00E60A37">
      <w:pPr>
        <w:pStyle w:val="12"/>
      </w:pPr>
      <w:r w:rsidRPr="00C27F91">
        <w:t>Agradeço à minha mãe, que sempre acreditou em mim e foi meu maior exemplo de amor e determinação. Apesar de não estar presente fisicamente para testemunhar essa conquista, sei que, de onde estiver, ela est</w:t>
      </w:r>
      <w:r w:rsidR="00B51677">
        <w:t>á orgulhosa e sorrindo por mim.</w:t>
      </w:r>
    </w:p>
    <w:p w14:paraId="14063745" w14:textId="2D8119AF" w:rsidR="00C27F91" w:rsidRPr="00C27F91" w:rsidRDefault="00C27F91" w:rsidP="00E60A37">
      <w:pPr>
        <w:pStyle w:val="12"/>
      </w:pPr>
      <w:r w:rsidRPr="00C27F91">
        <w:t>Ao meu marido, por todo o apoio, paciência e incentivo nos momentos em que pensei em de</w:t>
      </w:r>
      <w:r w:rsidR="00B51677">
        <w:t>sistir — você foi meu alicerce.</w:t>
      </w:r>
    </w:p>
    <w:p w14:paraId="37A369B8" w14:textId="736E5925" w:rsidR="00C27F91" w:rsidRPr="00C27F91" w:rsidRDefault="00C27F91" w:rsidP="00E60A37">
      <w:pPr>
        <w:pStyle w:val="12"/>
      </w:pPr>
      <w:r w:rsidRPr="00C27F91">
        <w:t>E aos meus filhos, que são meu maior motivo para seguir em frente, minha fonte de equilíbrio e inspiração</w:t>
      </w:r>
      <w:r w:rsidR="00B51677">
        <w:t>, logo abaixo de Deus, é claro.</w:t>
      </w:r>
    </w:p>
    <w:p w14:paraId="7B52592E" w14:textId="131B8AA5" w:rsidR="00135365" w:rsidRPr="00403306" w:rsidRDefault="00C27F91" w:rsidP="00E60A37">
      <w:pPr>
        <w:pStyle w:val="12"/>
      </w:pPr>
      <w:r w:rsidRPr="00C27F91">
        <w:t>A todos vocês, dedico essa vitória com todo o meu amor e gratidão.</w:t>
      </w:r>
    </w:p>
    <w:p w14:paraId="4A306BDB" w14:textId="39DA02B9" w:rsidR="008D03B3" w:rsidRDefault="008D03B3" w:rsidP="00135365">
      <w:pPr>
        <w:pStyle w:val="Corpodetexto"/>
        <w:ind w:right="134"/>
        <w:jc w:val="center"/>
        <w:rPr>
          <w:rFonts w:ascii="Arial" w:hAnsi="Arial" w:cs="Arial"/>
          <w:spacing w:val="-5"/>
        </w:rPr>
      </w:pPr>
      <w:r>
        <w:rPr>
          <w:rFonts w:ascii="Arial" w:hAnsi="Arial" w:cs="Arial"/>
          <w:spacing w:val="-5"/>
        </w:rPr>
        <w:br w:type="page"/>
      </w:r>
    </w:p>
    <w:p w14:paraId="3F78A6CD" w14:textId="1B012422" w:rsidR="00B51677" w:rsidRPr="00B51677" w:rsidRDefault="00B51677" w:rsidP="00B51677">
      <w:pPr>
        <w:pStyle w:val="Corpodetexto"/>
        <w:ind w:right="134"/>
        <w:rPr>
          <w:rFonts w:ascii="Arial" w:hAnsi="Arial" w:cs="Arial"/>
          <w:b/>
          <w:spacing w:val="-5"/>
        </w:rPr>
      </w:pPr>
      <w:r w:rsidRPr="00B51677">
        <w:rPr>
          <w:rFonts w:ascii="Arial" w:hAnsi="Arial" w:cs="Arial"/>
          <w:b/>
          <w:spacing w:val="-5"/>
        </w:rPr>
        <w:lastRenderedPageBreak/>
        <w:t>Roberta Braga de Andrade dos Santos</w:t>
      </w:r>
    </w:p>
    <w:p w14:paraId="15D3F077" w14:textId="77777777" w:rsidR="00B51677" w:rsidRDefault="00B51677" w:rsidP="00B51677">
      <w:pPr>
        <w:pStyle w:val="Corpodetexto"/>
        <w:ind w:right="134"/>
        <w:rPr>
          <w:rFonts w:ascii="Arial" w:hAnsi="Arial" w:cs="Arial"/>
          <w:spacing w:val="-5"/>
        </w:rPr>
      </w:pPr>
    </w:p>
    <w:p w14:paraId="29AAA20E" w14:textId="169DAE51" w:rsidR="00B51677" w:rsidRDefault="00B51677" w:rsidP="008D03B3">
      <w:pPr>
        <w:pStyle w:val="12"/>
      </w:pPr>
      <w:r w:rsidRPr="00B51677">
        <w:t xml:space="preserve">A Deus, por me guiar e me dar a força e a sabedoria para trilhar este caminho, transformando o sonho em realidade. </w:t>
      </w:r>
    </w:p>
    <w:p w14:paraId="3559FA91" w14:textId="1F5FE315" w:rsidR="00B51677" w:rsidRDefault="00B51677" w:rsidP="008D03B3">
      <w:pPr>
        <w:pStyle w:val="12"/>
      </w:pPr>
      <w:r w:rsidRPr="00B51677">
        <w:t xml:space="preserve">À minha Mãe, meu alicerce inabalável, por cada sacrifício e por sempre acreditar no meu potencial, mesmo quando eu duvidava. </w:t>
      </w:r>
    </w:p>
    <w:p w14:paraId="6BCF1670" w14:textId="7A70908A" w:rsidR="00B51677" w:rsidRDefault="00B51677" w:rsidP="008D03B3">
      <w:pPr>
        <w:pStyle w:val="12"/>
      </w:pPr>
      <w:r w:rsidRPr="00B51677">
        <w:t xml:space="preserve">Ao meu Marido, meu parceiro de vida, pela paciência infinita, pelo suporte nos momentos de cansaço e por ser meu maior incentivador. </w:t>
      </w:r>
    </w:p>
    <w:p w14:paraId="3227A854" w14:textId="20CF64FF" w:rsidR="00B51677" w:rsidRDefault="00B51677" w:rsidP="008D03B3">
      <w:pPr>
        <w:pStyle w:val="12"/>
      </w:pPr>
      <w:r w:rsidRPr="00B51677">
        <w:t>E ao meu Filho, a razão maior de todo o meu esforço, para que ele veja que a dedicação e a fé movem montanhas. Este TCC é nosso."</w:t>
      </w:r>
    </w:p>
    <w:p w14:paraId="68A585B6" w14:textId="4E6C05C5" w:rsidR="008D03B3" w:rsidRDefault="008D03B3" w:rsidP="00B51677">
      <w:pPr>
        <w:pStyle w:val="Corpodetexto"/>
        <w:ind w:right="134"/>
        <w:rPr>
          <w:rFonts w:ascii="Arial" w:hAnsi="Arial" w:cs="Arial"/>
        </w:rPr>
      </w:pPr>
      <w:r>
        <w:rPr>
          <w:rFonts w:ascii="Arial" w:hAnsi="Arial" w:cs="Arial"/>
        </w:rPr>
        <w:br w:type="page"/>
      </w:r>
    </w:p>
    <w:p w14:paraId="41804A2C" w14:textId="16C2E7FA" w:rsidR="00B51677" w:rsidRPr="00B51677" w:rsidRDefault="00B51677" w:rsidP="00B51677">
      <w:pPr>
        <w:pStyle w:val="Corpodetexto"/>
        <w:ind w:right="236"/>
        <w:rPr>
          <w:b/>
        </w:rPr>
      </w:pPr>
      <w:r w:rsidRPr="00B51677">
        <w:rPr>
          <w:b/>
        </w:rPr>
        <w:lastRenderedPageBreak/>
        <w:t xml:space="preserve">Gisele Cristina Paixão </w:t>
      </w:r>
    </w:p>
    <w:p w14:paraId="361CB930" w14:textId="654CB9B6" w:rsidR="00135365" w:rsidRPr="00403306" w:rsidRDefault="00135365" w:rsidP="008D03B3">
      <w:pPr>
        <w:pStyle w:val="12"/>
      </w:pPr>
    </w:p>
    <w:p w14:paraId="508C1A4D" w14:textId="77777777" w:rsidR="00D86990" w:rsidRDefault="00D86990" w:rsidP="008D03B3">
      <w:pPr>
        <w:pStyle w:val="12"/>
      </w:pPr>
      <w:r w:rsidRPr="001A71CB">
        <w:t>Agradeço primeiramente a Deus por me gui</w:t>
      </w:r>
      <w:r>
        <w:t xml:space="preserve">ar e fortalecer nessa jornada. </w:t>
      </w:r>
    </w:p>
    <w:p w14:paraId="28AC730B" w14:textId="77777777" w:rsidR="00D86990" w:rsidRDefault="00D86990" w:rsidP="008D03B3">
      <w:pPr>
        <w:pStyle w:val="12"/>
      </w:pPr>
      <w:r w:rsidRPr="001A71CB">
        <w:t>Às minhas filhas, meu maior tesouro, obrigada por serem minha insp</w:t>
      </w:r>
      <w:r>
        <w:t>iração. Essa conquista é nossa!</w:t>
      </w:r>
    </w:p>
    <w:p w14:paraId="1E798C64" w14:textId="77777777" w:rsidR="00D86990" w:rsidRDefault="00D86990" w:rsidP="008D03B3">
      <w:pPr>
        <w:pStyle w:val="12"/>
      </w:pPr>
      <w:r w:rsidRPr="001A71CB">
        <w:t>À minha fam</w:t>
      </w:r>
      <w:r>
        <w:t>ília, pelo apoio incondicional.</w:t>
      </w:r>
    </w:p>
    <w:p w14:paraId="2DDCB110" w14:textId="77777777" w:rsidR="00D86990" w:rsidRDefault="00D86990" w:rsidP="008D03B3">
      <w:pPr>
        <w:pStyle w:val="12"/>
      </w:pPr>
      <w:r w:rsidRPr="001A71CB">
        <w:t xml:space="preserve">Agradeço a todos que contribuíram para a realização </w:t>
      </w:r>
      <w:r>
        <w:t>deste trabalho. Muito obrigada!</w:t>
      </w:r>
    </w:p>
    <w:p w14:paraId="2ED62431" w14:textId="77777777" w:rsidR="00D86990" w:rsidRDefault="00D86990" w:rsidP="008D03B3">
      <w:pPr>
        <w:pStyle w:val="12"/>
      </w:pPr>
      <w:r w:rsidRPr="001A71CB">
        <w:t>Gratidão a meus orientadores e colegas p</w:t>
      </w:r>
      <w:r>
        <w:t>elo apoio durante essa jornada.</w:t>
      </w:r>
    </w:p>
    <w:p w14:paraId="29F087D7" w14:textId="77777777" w:rsidR="00D86990" w:rsidRDefault="00D86990" w:rsidP="008D03B3">
      <w:pPr>
        <w:pStyle w:val="12"/>
      </w:pPr>
      <w:r w:rsidRPr="001A71CB">
        <w:t>Obrigada a todos que tornaram este sonho possível.</w:t>
      </w:r>
    </w:p>
    <w:p w14:paraId="7E8D52C4" w14:textId="77777777" w:rsidR="00135365" w:rsidRPr="00403306" w:rsidRDefault="00135365" w:rsidP="008D03B3">
      <w:pPr>
        <w:pStyle w:val="12"/>
      </w:pPr>
    </w:p>
    <w:p w14:paraId="27FC5DF9" w14:textId="77777777" w:rsidR="00135365" w:rsidRPr="00403306" w:rsidRDefault="00135365" w:rsidP="008D03B3">
      <w:pPr>
        <w:pStyle w:val="12"/>
      </w:pPr>
    </w:p>
    <w:p w14:paraId="07139F85" w14:textId="77777777" w:rsidR="00135365" w:rsidRPr="00403306" w:rsidRDefault="00135365" w:rsidP="008D03B3">
      <w:pPr>
        <w:pStyle w:val="12"/>
      </w:pPr>
    </w:p>
    <w:p w14:paraId="6AEC1B86" w14:textId="77777777" w:rsidR="00135365" w:rsidRPr="00403306" w:rsidRDefault="00135365">
      <w:pPr>
        <w:rPr>
          <w:rFonts w:ascii="Arial" w:hAnsi="Arial" w:cs="Arial"/>
          <w:sz w:val="24"/>
          <w:szCs w:val="24"/>
        </w:rPr>
      </w:pPr>
      <w:r w:rsidRPr="00403306">
        <w:rPr>
          <w:rFonts w:ascii="Arial" w:hAnsi="Arial" w:cs="Arial"/>
        </w:rPr>
        <w:br w:type="page"/>
      </w:r>
    </w:p>
    <w:p w14:paraId="1DFE1711" w14:textId="061190C9" w:rsidR="00135365" w:rsidRPr="00403306" w:rsidRDefault="00135365" w:rsidP="008D03B3">
      <w:pPr>
        <w:pStyle w:val="Corpodetexto"/>
        <w:spacing w:line="360" w:lineRule="auto"/>
        <w:jc w:val="center"/>
        <w:rPr>
          <w:rFonts w:ascii="Arial" w:hAnsi="Arial" w:cs="Arial"/>
          <w:b/>
          <w:bCs/>
        </w:rPr>
      </w:pPr>
      <w:r w:rsidRPr="00403306">
        <w:rPr>
          <w:rFonts w:ascii="Arial" w:hAnsi="Arial" w:cs="Arial"/>
          <w:b/>
          <w:bCs/>
        </w:rPr>
        <w:lastRenderedPageBreak/>
        <w:t>Agradecimentos</w:t>
      </w:r>
    </w:p>
    <w:p w14:paraId="28BA356F" w14:textId="77777777" w:rsidR="00135365" w:rsidRPr="00403306" w:rsidRDefault="00135365" w:rsidP="008D03B3">
      <w:pPr>
        <w:pStyle w:val="12"/>
      </w:pPr>
    </w:p>
    <w:p w14:paraId="6FE6ED5C" w14:textId="258F606A" w:rsidR="00A97A4A" w:rsidRDefault="00A97A4A" w:rsidP="008D03B3">
      <w:pPr>
        <w:pStyle w:val="12"/>
      </w:pPr>
      <w:r w:rsidRPr="00A97A4A">
        <w:t>"Aos estimados Professores, por sua dedicação em transcender as barreiras geográficas. Agradeço profundamente por tornarem o conhecimento acessível e por orientarem com clareza e firmeza, mesmo mediado pela tela. Aos meus Colegas de Curso, companheiros de jornada EAD, agradeço pela troca constante de experiências e pelo apoio mútuo nos momentos de dúvida. Foi na colaboração e nos debates virtuais que muitas das minhas compreensões se solidificaram."</w:t>
      </w:r>
    </w:p>
    <w:p w14:paraId="54095667" w14:textId="77777777" w:rsidR="00A97A4A" w:rsidRDefault="00A97A4A" w:rsidP="008D03B3">
      <w:pPr>
        <w:pStyle w:val="12"/>
      </w:pPr>
    </w:p>
    <w:p w14:paraId="6857546C" w14:textId="77777777" w:rsidR="00A97A4A" w:rsidRDefault="00A97A4A" w:rsidP="008D03B3">
      <w:pPr>
        <w:pStyle w:val="12"/>
      </w:pPr>
    </w:p>
    <w:p w14:paraId="3BFEF3D4" w14:textId="77777777" w:rsidR="00A97A4A" w:rsidRDefault="00A97A4A" w:rsidP="008D03B3">
      <w:pPr>
        <w:pStyle w:val="12"/>
      </w:pPr>
    </w:p>
    <w:p w14:paraId="04660321" w14:textId="77777777" w:rsidR="00A97A4A" w:rsidRDefault="00A97A4A" w:rsidP="008D03B3">
      <w:pPr>
        <w:pStyle w:val="12"/>
      </w:pPr>
    </w:p>
    <w:p w14:paraId="11006874" w14:textId="77777777" w:rsidR="00A97A4A" w:rsidRDefault="00A97A4A" w:rsidP="00135365">
      <w:pPr>
        <w:pStyle w:val="Corpodetexto"/>
        <w:rPr>
          <w:rFonts w:ascii="Arial" w:hAnsi="Arial" w:cs="Arial"/>
        </w:rPr>
      </w:pPr>
    </w:p>
    <w:p w14:paraId="53516737" w14:textId="77777777" w:rsidR="00135365" w:rsidRPr="00403306" w:rsidRDefault="00135365" w:rsidP="00135365">
      <w:pPr>
        <w:pStyle w:val="Corpodetexto"/>
        <w:rPr>
          <w:rFonts w:ascii="Arial" w:hAnsi="Arial" w:cs="Arial"/>
        </w:rPr>
      </w:pPr>
    </w:p>
    <w:p w14:paraId="05CC4032"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07B0DF31" w14:textId="77777777" w:rsidR="00135365" w:rsidRPr="00403306" w:rsidRDefault="00135365" w:rsidP="00135365">
      <w:pPr>
        <w:pStyle w:val="Corpodetexto"/>
        <w:spacing w:line="259" w:lineRule="auto"/>
        <w:ind w:left="3900" w:right="791"/>
        <w:jc w:val="both"/>
        <w:rPr>
          <w:rFonts w:ascii="Arial" w:hAnsi="Arial" w:cs="Arial"/>
        </w:rPr>
      </w:pPr>
    </w:p>
    <w:p w14:paraId="6D6EE9D6" w14:textId="77777777" w:rsidR="00135365" w:rsidRPr="00403306" w:rsidRDefault="00135365" w:rsidP="00135365">
      <w:pPr>
        <w:pStyle w:val="Corpodetexto"/>
        <w:spacing w:line="259" w:lineRule="auto"/>
        <w:ind w:left="3900" w:right="791"/>
        <w:jc w:val="both"/>
        <w:rPr>
          <w:rFonts w:ascii="Arial" w:hAnsi="Arial" w:cs="Arial"/>
        </w:rPr>
      </w:pPr>
    </w:p>
    <w:p w14:paraId="50866FC8" w14:textId="77777777" w:rsidR="00135365" w:rsidRPr="00403306" w:rsidRDefault="00135365" w:rsidP="00135365">
      <w:pPr>
        <w:pStyle w:val="Corpodetexto"/>
        <w:spacing w:line="259" w:lineRule="auto"/>
        <w:ind w:left="3900" w:right="791"/>
        <w:jc w:val="both"/>
        <w:rPr>
          <w:rFonts w:ascii="Arial" w:hAnsi="Arial" w:cs="Arial"/>
        </w:rPr>
      </w:pPr>
    </w:p>
    <w:p w14:paraId="1F0CAE4D" w14:textId="77777777" w:rsidR="00135365" w:rsidRPr="00403306" w:rsidRDefault="00135365" w:rsidP="00135365">
      <w:pPr>
        <w:pStyle w:val="Corpodetexto"/>
        <w:spacing w:line="259" w:lineRule="auto"/>
        <w:ind w:left="3900" w:right="791"/>
        <w:jc w:val="both"/>
        <w:rPr>
          <w:rFonts w:ascii="Arial" w:hAnsi="Arial" w:cs="Arial"/>
        </w:rPr>
      </w:pPr>
    </w:p>
    <w:p w14:paraId="2080B99C" w14:textId="77777777" w:rsidR="00135365" w:rsidRPr="00403306" w:rsidRDefault="00135365" w:rsidP="00135365">
      <w:pPr>
        <w:pStyle w:val="Corpodetexto"/>
        <w:spacing w:line="259" w:lineRule="auto"/>
        <w:ind w:left="3900" w:right="791"/>
        <w:jc w:val="both"/>
        <w:rPr>
          <w:rFonts w:ascii="Arial" w:hAnsi="Arial" w:cs="Arial"/>
        </w:rPr>
      </w:pPr>
    </w:p>
    <w:p w14:paraId="676FE11A" w14:textId="77777777" w:rsidR="00135365" w:rsidRPr="00403306" w:rsidRDefault="00135365" w:rsidP="00135365">
      <w:pPr>
        <w:pStyle w:val="Corpodetexto"/>
        <w:spacing w:line="259" w:lineRule="auto"/>
        <w:ind w:left="3900" w:right="791"/>
        <w:jc w:val="both"/>
        <w:rPr>
          <w:rFonts w:ascii="Arial" w:hAnsi="Arial" w:cs="Arial"/>
        </w:rPr>
      </w:pPr>
    </w:p>
    <w:p w14:paraId="207534E7" w14:textId="77777777" w:rsidR="00135365" w:rsidRPr="00403306" w:rsidRDefault="00135365" w:rsidP="00135365">
      <w:pPr>
        <w:pStyle w:val="Corpodetexto"/>
        <w:spacing w:line="259" w:lineRule="auto"/>
        <w:ind w:left="3900" w:right="791"/>
        <w:jc w:val="both"/>
        <w:rPr>
          <w:rFonts w:ascii="Arial" w:hAnsi="Arial" w:cs="Arial"/>
        </w:rPr>
      </w:pPr>
    </w:p>
    <w:p w14:paraId="53097ADA" w14:textId="77777777" w:rsidR="00135365" w:rsidRPr="00403306" w:rsidRDefault="00135365" w:rsidP="00135365">
      <w:pPr>
        <w:pStyle w:val="Corpodetexto"/>
        <w:spacing w:line="259" w:lineRule="auto"/>
        <w:ind w:left="3900" w:right="791"/>
        <w:jc w:val="both"/>
        <w:rPr>
          <w:rFonts w:ascii="Arial" w:hAnsi="Arial" w:cs="Arial"/>
        </w:rPr>
      </w:pPr>
    </w:p>
    <w:p w14:paraId="73A76823" w14:textId="77777777" w:rsidR="00135365" w:rsidRPr="00403306" w:rsidRDefault="00135365" w:rsidP="00135365">
      <w:pPr>
        <w:pStyle w:val="Corpodetexto"/>
        <w:spacing w:line="259" w:lineRule="auto"/>
        <w:ind w:left="3900" w:right="791"/>
        <w:jc w:val="both"/>
        <w:rPr>
          <w:rFonts w:ascii="Arial" w:hAnsi="Arial" w:cs="Arial"/>
        </w:rPr>
      </w:pPr>
    </w:p>
    <w:p w14:paraId="232C2355" w14:textId="77777777" w:rsidR="00135365" w:rsidRPr="00403306" w:rsidRDefault="00135365" w:rsidP="00135365">
      <w:pPr>
        <w:pStyle w:val="Corpodetexto"/>
        <w:spacing w:line="259" w:lineRule="auto"/>
        <w:ind w:left="3900" w:right="791"/>
        <w:jc w:val="both"/>
        <w:rPr>
          <w:rFonts w:ascii="Arial" w:hAnsi="Arial" w:cs="Arial"/>
        </w:rPr>
      </w:pPr>
    </w:p>
    <w:p w14:paraId="0B9612CD" w14:textId="77777777" w:rsidR="00135365" w:rsidRPr="00403306" w:rsidRDefault="00135365" w:rsidP="00135365">
      <w:pPr>
        <w:pStyle w:val="Corpodetexto"/>
        <w:spacing w:line="259" w:lineRule="auto"/>
        <w:ind w:left="3900" w:right="791"/>
        <w:jc w:val="both"/>
        <w:rPr>
          <w:rFonts w:ascii="Arial" w:hAnsi="Arial" w:cs="Arial"/>
        </w:rPr>
      </w:pPr>
    </w:p>
    <w:p w14:paraId="3F672C65" w14:textId="77777777" w:rsidR="00135365" w:rsidRPr="00403306" w:rsidRDefault="00135365" w:rsidP="00135365">
      <w:pPr>
        <w:pStyle w:val="Corpodetexto"/>
        <w:spacing w:line="259" w:lineRule="auto"/>
        <w:ind w:left="3900" w:right="791"/>
        <w:jc w:val="both"/>
        <w:rPr>
          <w:rFonts w:ascii="Arial" w:hAnsi="Arial" w:cs="Arial"/>
        </w:rPr>
      </w:pPr>
    </w:p>
    <w:p w14:paraId="648FFB4C" w14:textId="77777777" w:rsidR="00135365" w:rsidRPr="00403306" w:rsidRDefault="00135365" w:rsidP="00135365">
      <w:pPr>
        <w:pStyle w:val="Corpodetexto"/>
        <w:spacing w:line="259" w:lineRule="auto"/>
        <w:ind w:left="3900" w:right="791"/>
        <w:jc w:val="both"/>
        <w:rPr>
          <w:rFonts w:ascii="Arial" w:hAnsi="Arial" w:cs="Arial"/>
        </w:rPr>
      </w:pPr>
    </w:p>
    <w:p w14:paraId="17688EFF" w14:textId="77777777" w:rsidR="00135365" w:rsidRPr="00403306" w:rsidRDefault="00135365" w:rsidP="00135365">
      <w:pPr>
        <w:pStyle w:val="Corpodetexto"/>
        <w:spacing w:line="259" w:lineRule="auto"/>
        <w:ind w:left="3900" w:right="791"/>
        <w:jc w:val="both"/>
        <w:rPr>
          <w:rFonts w:ascii="Arial" w:hAnsi="Arial" w:cs="Arial"/>
        </w:rPr>
      </w:pPr>
    </w:p>
    <w:p w14:paraId="11B7E481" w14:textId="77777777" w:rsidR="00135365" w:rsidRPr="00403306" w:rsidRDefault="00135365" w:rsidP="00135365">
      <w:pPr>
        <w:pStyle w:val="Corpodetexto"/>
        <w:spacing w:line="259" w:lineRule="auto"/>
        <w:ind w:left="3900" w:right="791"/>
        <w:jc w:val="both"/>
        <w:rPr>
          <w:rFonts w:ascii="Arial" w:hAnsi="Arial" w:cs="Arial"/>
        </w:rPr>
      </w:pPr>
    </w:p>
    <w:p w14:paraId="7F15ED9C" w14:textId="77777777" w:rsidR="00135365" w:rsidRPr="00403306" w:rsidRDefault="00135365" w:rsidP="00135365">
      <w:pPr>
        <w:pStyle w:val="Corpodetexto"/>
        <w:spacing w:line="259" w:lineRule="auto"/>
        <w:ind w:left="3900" w:right="791"/>
        <w:jc w:val="both"/>
        <w:rPr>
          <w:rFonts w:ascii="Arial" w:hAnsi="Arial" w:cs="Arial"/>
        </w:rPr>
      </w:pPr>
    </w:p>
    <w:p w14:paraId="2A48275E" w14:textId="77777777" w:rsidR="00135365" w:rsidRPr="00403306" w:rsidRDefault="00135365" w:rsidP="00135365">
      <w:pPr>
        <w:pStyle w:val="Corpodetexto"/>
        <w:spacing w:line="259" w:lineRule="auto"/>
        <w:ind w:left="3900" w:right="791"/>
        <w:jc w:val="both"/>
        <w:rPr>
          <w:rFonts w:ascii="Arial" w:hAnsi="Arial" w:cs="Arial"/>
        </w:rPr>
      </w:pPr>
    </w:p>
    <w:p w14:paraId="7EE80721" w14:textId="77777777" w:rsidR="00135365" w:rsidRPr="00403306" w:rsidRDefault="00135365" w:rsidP="00135365">
      <w:pPr>
        <w:pStyle w:val="Corpodetexto"/>
        <w:spacing w:line="259" w:lineRule="auto"/>
        <w:ind w:left="3900" w:right="791"/>
        <w:jc w:val="both"/>
        <w:rPr>
          <w:rFonts w:ascii="Arial" w:hAnsi="Arial" w:cs="Arial"/>
        </w:rPr>
      </w:pPr>
    </w:p>
    <w:p w14:paraId="43AA0050" w14:textId="77777777" w:rsidR="00135365" w:rsidRPr="00403306" w:rsidRDefault="00135365" w:rsidP="00135365">
      <w:pPr>
        <w:pStyle w:val="Corpodetexto"/>
        <w:spacing w:line="259" w:lineRule="auto"/>
        <w:ind w:left="3900" w:right="791"/>
        <w:jc w:val="both"/>
        <w:rPr>
          <w:rFonts w:ascii="Arial" w:hAnsi="Arial" w:cs="Arial"/>
        </w:rPr>
      </w:pPr>
    </w:p>
    <w:p w14:paraId="42796FDD" w14:textId="77777777" w:rsidR="00135365" w:rsidRPr="00403306" w:rsidRDefault="00135365" w:rsidP="00135365">
      <w:pPr>
        <w:pStyle w:val="Corpodetexto"/>
        <w:spacing w:line="259" w:lineRule="auto"/>
        <w:ind w:left="3900" w:right="791"/>
        <w:jc w:val="both"/>
        <w:rPr>
          <w:rFonts w:ascii="Arial" w:hAnsi="Arial" w:cs="Arial"/>
        </w:rPr>
      </w:pPr>
    </w:p>
    <w:p w14:paraId="73C0C03F" w14:textId="77777777" w:rsidR="00135365" w:rsidRPr="00403306" w:rsidRDefault="00135365" w:rsidP="00135365">
      <w:pPr>
        <w:pStyle w:val="Corpodetexto"/>
        <w:spacing w:line="259" w:lineRule="auto"/>
        <w:ind w:left="3900" w:right="791"/>
        <w:jc w:val="both"/>
        <w:rPr>
          <w:rFonts w:ascii="Arial" w:hAnsi="Arial" w:cs="Arial"/>
        </w:rPr>
      </w:pPr>
    </w:p>
    <w:p w14:paraId="36399AEF" w14:textId="77777777" w:rsidR="00135365" w:rsidRPr="00403306" w:rsidRDefault="00135365" w:rsidP="00135365">
      <w:pPr>
        <w:pStyle w:val="Corpodetexto"/>
        <w:spacing w:line="259" w:lineRule="auto"/>
        <w:ind w:left="3900" w:right="791"/>
        <w:jc w:val="both"/>
        <w:rPr>
          <w:rFonts w:ascii="Arial" w:hAnsi="Arial" w:cs="Arial"/>
        </w:rPr>
      </w:pPr>
    </w:p>
    <w:p w14:paraId="3127C388" w14:textId="77777777" w:rsidR="00135365" w:rsidRPr="00403306" w:rsidRDefault="00135365" w:rsidP="00135365">
      <w:pPr>
        <w:pStyle w:val="Corpodetexto"/>
        <w:spacing w:line="259" w:lineRule="auto"/>
        <w:ind w:left="3900" w:right="791"/>
        <w:jc w:val="both"/>
        <w:rPr>
          <w:rFonts w:ascii="Arial" w:hAnsi="Arial" w:cs="Arial"/>
        </w:rPr>
      </w:pPr>
    </w:p>
    <w:p w14:paraId="52E945C7" w14:textId="77777777" w:rsidR="00135365" w:rsidRPr="00403306" w:rsidRDefault="00135365" w:rsidP="00135365">
      <w:pPr>
        <w:pStyle w:val="Corpodetexto"/>
        <w:spacing w:line="259" w:lineRule="auto"/>
        <w:ind w:left="3900" w:right="791"/>
        <w:jc w:val="both"/>
        <w:rPr>
          <w:rFonts w:ascii="Arial" w:hAnsi="Arial" w:cs="Arial"/>
        </w:rPr>
      </w:pPr>
    </w:p>
    <w:p w14:paraId="1AD3B74B" w14:textId="77777777" w:rsidR="00135365" w:rsidRPr="00403306" w:rsidRDefault="00135365" w:rsidP="00135365">
      <w:pPr>
        <w:pStyle w:val="Corpodetexto"/>
        <w:spacing w:line="259" w:lineRule="auto"/>
        <w:ind w:left="3900" w:right="791"/>
        <w:jc w:val="both"/>
        <w:rPr>
          <w:rFonts w:ascii="Arial" w:hAnsi="Arial" w:cs="Arial"/>
        </w:rPr>
      </w:pPr>
    </w:p>
    <w:p w14:paraId="6AE12692" w14:textId="77777777" w:rsidR="00135365" w:rsidRPr="00403306" w:rsidRDefault="00135365" w:rsidP="00135365">
      <w:pPr>
        <w:pStyle w:val="Corpodetexto"/>
        <w:spacing w:line="259" w:lineRule="auto"/>
        <w:ind w:left="3900" w:right="791"/>
        <w:jc w:val="both"/>
        <w:rPr>
          <w:rFonts w:ascii="Arial" w:hAnsi="Arial" w:cs="Arial"/>
        </w:rPr>
      </w:pPr>
    </w:p>
    <w:p w14:paraId="200B65B9" w14:textId="77777777" w:rsidR="00135365" w:rsidRPr="00403306" w:rsidRDefault="00135365" w:rsidP="00135365">
      <w:pPr>
        <w:pStyle w:val="Corpodetexto"/>
        <w:spacing w:line="259" w:lineRule="auto"/>
        <w:ind w:left="3900" w:right="791"/>
        <w:jc w:val="both"/>
        <w:rPr>
          <w:rFonts w:ascii="Arial" w:hAnsi="Arial" w:cs="Arial"/>
        </w:rPr>
      </w:pPr>
    </w:p>
    <w:p w14:paraId="6602B883" w14:textId="77777777" w:rsidR="00135365" w:rsidRPr="00403306" w:rsidRDefault="00135365" w:rsidP="00135365">
      <w:pPr>
        <w:pStyle w:val="Corpodetexto"/>
        <w:spacing w:line="259" w:lineRule="auto"/>
        <w:ind w:left="3900" w:right="791"/>
        <w:jc w:val="both"/>
        <w:rPr>
          <w:rFonts w:ascii="Arial" w:hAnsi="Arial" w:cs="Arial"/>
        </w:rPr>
      </w:pPr>
    </w:p>
    <w:p w14:paraId="2D3A1133" w14:textId="77777777" w:rsidR="00135365" w:rsidRPr="00403306" w:rsidRDefault="00135365" w:rsidP="00135365">
      <w:pPr>
        <w:pStyle w:val="Corpodetexto"/>
        <w:spacing w:line="259" w:lineRule="auto"/>
        <w:ind w:left="3900" w:right="791"/>
        <w:jc w:val="both"/>
        <w:rPr>
          <w:rFonts w:ascii="Arial" w:hAnsi="Arial" w:cs="Arial"/>
        </w:rPr>
      </w:pPr>
    </w:p>
    <w:p w14:paraId="09D5A44F" w14:textId="77777777" w:rsidR="00135365" w:rsidRPr="00403306" w:rsidRDefault="00135365" w:rsidP="00135365">
      <w:pPr>
        <w:pStyle w:val="Corpodetexto"/>
        <w:spacing w:line="259" w:lineRule="auto"/>
        <w:ind w:left="3900" w:right="791"/>
        <w:jc w:val="both"/>
        <w:rPr>
          <w:rFonts w:ascii="Arial" w:hAnsi="Arial" w:cs="Arial"/>
        </w:rPr>
      </w:pPr>
    </w:p>
    <w:p w14:paraId="690E9634" w14:textId="77777777" w:rsidR="00135365" w:rsidRPr="00403306" w:rsidRDefault="00135365" w:rsidP="00135365">
      <w:pPr>
        <w:pStyle w:val="Corpodetexto"/>
        <w:spacing w:line="259" w:lineRule="auto"/>
        <w:ind w:left="3900" w:right="791"/>
        <w:jc w:val="both"/>
        <w:rPr>
          <w:rFonts w:ascii="Arial" w:hAnsi="Arial" w:cs="Arial"/>
        </w:rPr>
      </w:pPr>
    </w:p>
    <w:p w14:paraId="25E7CDAE" w14:textId="77777777" w:rsidR="003823C0" w:rsidRDefault="003823C0" w:rsidP="00135365">
      <w:pPr>
        <w:pStyle w:val="Corpodetexto"/>
        <w:spacing w:line="259" w:lineRule="auto"/>
        <w:ind w:left="3900" w:right="791"/>
        <w:jc w:val="both"/>
        <w:rPr>
          <w:rFonts w:ascii="Arial" w:hAnsi="Arial" w:cs="Arial"/>
          <w:color w:val="FF0000"/>
        </w:rPr>
      </w:pPr>
    </w:p>
    <w:p w14:paraId="590DB4BF" w14:textId="77777777" w:rsidR="00135365" w:rsidRPr="00403306" w:rsidRDefault="00135365" w:rsidP="00135365">
      <w:pPr>
        <w:pStyle w:val="Corpodetexto"/>
        <w:spacing w:line="259" w:lineRule="auto"/>
        <w:ind w:left="3900" w:right="791"/>
        <w:jc w:val="both"/>
        <w:rPr>
          <w:rFonts w:ascii="Arial" w:hAnsi="Arial" w:cs="Arial"/>
        </w:rPr>
      </w:pPr>
    </w:p>
    <w:p w14:paraId="7AC21DB3" w14:textId="77777777" w:rsidR="00135365" w:rsidRPr="00403306" w:rsidRDefault="00135365" w:rsidP="00135365">
      <w:pPr>
        <w:pStyle w:val="Corpodetexto"/>
        <w:spacing w:line="259" w:lineRule="auto"/>
        <w:ind w:left="3900" w:right="791"/>
        <w:jc w:val="both"/>
        <w:rPr>
          <w:rFonts w:ascii="Arial" w:hAnsi="Arial" w:cs="Arial"/>
        </w:rPr>
      </w:pPr>
    </w:p>
    <w:p w14:paraId="5D7AADE0" w14:textId="77777777" w:rsidR="008F15A8" w:rsidRDefault="008F15A8" w:rsidP="008F15A8">
      <w:pPr>
        <w:pStyle w:val="Corpodetexto"/>
        <w:ind w:left="4536"/>
        <w:jc w:val="both"/>
        <w:rPr>
          <w:rFonts w:ascii="Arial" w:hAnsi="Arial" w:cs="Arial"/>
        </w:rPr>
      </w:pPr>
    </w:p>
    <w:p w14:paraId="6CAA57F0" w14:textId="77777777" w:rsidR="008F15A8" w:rsidRDefault="008F15A8" w:rsidP="008F15A8">
      <w:pPr>
        <w:pStyle w:val="Corpodetexto"/>
        <w:ind w:left="4536"/>
        <w:jc w:val="both"/>
        <w:rPr>
          <w:rFonts w:ascii="Arial" w:hAnsi="Arial" w:cs="Arial"/>
        </w:rPr>
      </w:pPr>
    </w:p>
    <w:p w14:paraId="7B5C7074" w14:textId="466D5D8A" w:rsidR="008D03B3" w:rsidRPr="008D03B3" w:rsidRDefault="008D03B3" w:rsidP="008F15A8">
      <w:pPr>
        <w:pStyle w:val="Corpodetexto"/>
        <w:ind w:left="4536"/>
        <w:jc w:val="both"/>
        <w:rPr>
          <w:rFonts w:ascii="Arial" w:hAnsi="Arial" w:cs="Arial"/>
        </w:rPr>
      </w:pPr>
      <w:r w:rsidRPr="008D03B3">
        <w:rPr>
          <w:rFonts w:ascii="Arial" w:hAnsi="Arial" w:cs="Arial"/>
        </w:rPr>
        <w:t>“Cuidar da mente não é um luxo, mas sim o alicerce indispensável para qualquer processo de aprendizado e desenvolvimento humano.”</w:t>
      </w:r>
    </w:p>
    <w:p w14:paraId="35362C2B" w14:textId="59088A52" w:rsidR="00135365" w:rsidRPr="008D03B3" w:rsidRDefault="008D03B3" w:rsidP="008F15A8">
      <w:pPr>
        <w:pStyle w:val="Corpodetexto"/>
        <w:ind w:left="4536"/>
        <w:jc w:val="both"/>
        <w:rPr>
          <w:rFonts w:ascii="Arial" w:hAnsi="Arial" w:cs="Arial"/>
          <w:spacing w:val="-2"/>
        </w:rPr>
      </w:pPr>
      <w:r w:rsidRPr="008D03B3">
        <w:rPr>
          <w:rFonts w:ascii="Arial" w:hAnsi="Arial" w:cs="Arial"/>
        </w:rPr>
        <w:t>(Mantovani, 2023).</w:t>
      </w:r>
    </w:p>
    <w:p w14:paraId="78F00A99" w14:textId="77777777" w:rsidR="00E37B73" w:rsidRDefault="00E37B73" w:rsidP="00135365">
      <w:pPr>
        <w:pStyle w:val="Corpodetexto"/>
        <w:spacing w:line="259" w:lineRule="auto"/>
        <w:ind w:left="3900" w:right="791"/>
        <w:jc w:val="both"/>
        <w:rPr>
          <w:rFonts w:ascii="Arial" w:hAnsi="Arial" w:cs="Arial"/>
          <w:spacing w:val="-2"/>
        </w:rPr>
      </w:pPr>
    </w:p>
    <w:p w14:paraId="6B406638" w14:textId="77777777" w:rsidR="00E37B73" w:rsidRDefault="00E37B73" w:rsidP="00135365">
      <w:pPr>
        <w:pStyle w:val="Corpodetexto"/>
        <w:spacing w:line="259" w:lineRule="auto"/>
        <w:ind w:left="3900" w:right="791"/>
        <w:jc w:val="both"/>
        <w:rPr>
          <w:rFonts w:ascii="Arial" w:hAnsi="Arial" w:cs="Arial"/>
          <w:spacing w:val="-2"/>
        </w:rPr>
      </w:pPr>
    </w:p>
    <w:p w14:paraId="77B76C89" w14:textId="1F4374A6" w:rsidR="008D03B3" w:rsidRDefault="008D03B3" w:rsidP="00135365">
      <w:pPr>
        <w:pStyle w:val="Corpodetexto"/>
        <w:spacing w:line="259" w:lineRule="auto"/>
        <w:ind w:left="3900" w:right="791"/>
        <w:jc w:val="both"/>
        <w:rPr>
          <w:rFonts w:ascii="Arial" w:hAnsi="Arial" w:cs="Arial"/>
          <w:spacing w:val="-2"/>
        </w:rPr>
      </w:pPr>
      <w:r>
        <w:rPr>
          <w:rFonts w:ascii="Arial" w:hAnsi="Arial" w:cs="Arial"/>
          <w:spacing w:val="-2"/>
        </w:rPr>
        <w:br w:type="page"/>
      </w:r>
    </w:p>
    <w:p w14:paraId="17C2E827" w14:textId="056E9F60" w:rsidR="006111A1" w:rsidRDefault="00135365" w:rsidP="006111A1">
      <w:pPr>
        <w:pStyle w:val="Corpodetexto"/>
        <w:spacing w:line="259" w:lineRule="auto"/>
        <w:ind w:right="842"/>
        <w:jc w:val="center"/>
        <w:rPr>
          <w:rFonts w:ascii="Arial" w:hAnsi="Arial" w:cs="Arial"/>
          <w:b/>
          <w:bCs/>
        </w:rPr>
      </w:pPr>
      <w:r w:rsidRPr="00403306">
        <w:rPr>
          <w:rFonts w:ascii="Arial" w:hAnsi="Arial" w:cs="Arial"/>
          <w:b/>
          <w:bCs/>
        </w:rPr>
        <w:lastRenderedPageBreak/>
        <w:t>RESUMO</w:t>
      </w:r>
    </w:p>
    <w:p w14:paraId="77C07271" w14:textId="77777777" w:rsidR="00F34B38" w:rsidRPr="006111A1" w:rsidRDefault="00F34B38" w:rsidP="006111A1">
      <w:pPr>
        <w:pStyle w:val="Corpodetexto"/>
        <w:spacing w:line="259" w:lineRule="auto"/>
        <w:ind w:right="842"/>
        <w:jc w:val="center"/>
        <w:rPr>
          <w:rFonts w:ascii="Arial" w:hAnsi="Arial" w:cs="Arial"/>
          <w:b/>
          <w:bCs/>
        </w:rPr>
      </w:pPr>
    </w:p>
    <w:p w14:paraId="2EA5D4B8" w14:textId="3D816457" w:rsidR="006111A1" w:rsidRDefault="006111A1" w:rsidP="006111A1">
      <w:pPr>
        <w:pStyle w:val="Corpodetexto"/>
        <w:jc w:val="both"/>
        <w:rPr>
          <w:rFonts w:ascii="Arial" w:hAnsi="Arial" w:cs="Arial"/>
          <w:lang w:val="pt-BR"/>
        </w:rPr>
      </w:pPr>
      <w:r w:rsidRPr="006111A1">
        <w:rPr>
          <w:rFonts w:ascii="Arial" w:hAnsi="Arial" w:cs="Arial"/>
          <w:lang w:val="pt-BR"/>
        </w:rPr>
        <w:t>O presente estudo teve como objetivo geral analisar os fatores que afetam a saúde mental dos professores, destacando os principais desafios vivenciados no ambiente escolar e seus impactos na prática pedagógica. Para tanto, utilizou-se como metodologia uma revisão bibliográfica qualitativa, fundamentada em artigos científicos, dissertações, teses e livros publicados nos últimos dez anos em bases como SciELO, LILACS, PubMed e Google Acadêmico. A seleção do material permitiu a sistematização de informações relevantes sobre estressores, sintomas recorrentes e estratégias de enfrentamento ligadas ao adoecimento psíquico docente.</w:t>
      </w:r>
      <w:r>
        <w:rPr>
          <w:rFonts w:ascii="Arial" w:hAnsi="Arial" w:cs="Arial"/>
          <w:lang w:val="pt-BR"/>
        </w:rPr>
        <w:t xml:space="preserve"> </w:t>
      </w:r>
      <w:r w:rsidRPr="006111A1">
        <w:rPr>
          <w:rFonts w:ascii="Arial" w:hAnsi="Arial" w:cs="Arial"/>
          <w:lang w:val="pt-BR"/>
        </w:rPr>
        <w:t>A discussão evidenciou que os professores estão expostos a múltiplos fatores de risco, como sobrecarga de trabalho, pressões institucionais, desvalorização profissional, infraestrutura precária e ausência de apoio pedagógico e institucional. Tais elementos contribuem para o aumento de sintomas de ansiedade, depressão e síndrome de burnout, comprometendo não apenas o bem-estar individual, mas também a qualidade do processo de ensino-aprendizagem. Ao mesmo tempo, estratégias como práticas de autocuidado, gestão emocional, formação continuada e políticas públicas de valorização mostraram-se relevantes para mitigar os efeitos do desgaste psicológico.</w:t>
      </w:r>
      <w:r>
        <w:rPr>
          <w:rFonts w:ascii="Arial" w:hAnsi="Arial" w:cs="Arial"/>
          <w:lang w:val="pt-BR"/>
        </w:rPr>
        <w:t xml:space="preserve"> </w:t>
      </w:r>
      <w:r w:rsidRPr="006111A1">
        <w:rPr>
          <w:rFonts w:ascii="Arial" w:hAnsi="Arial" w:cs="Arial"/>
          <w:lang w:val="pt-BR"/>
        </w:rPr>
        <w:t>Conclui-se que a pergunta-problema foi respondida e os objetivos específicos contemplados, uma vez que o estudo identificou estressores, mapeou sintomas, relacionou condições de trabalho com bem-estar e apresentou estratégias de enfrentamento. Recomenda-se que pesquisas futuras explorem metodologias mistas e análises comparativas para compreender melhor a evolução do adoecimento docente em diferentes contextos educacionais.</w:t>
      </w:r>
    </w:p>
    <w:p w14:paraId="359AC501" w14:textId="77777777" w:rsidR="006111A1" w:rsidRPr="006111A1" w:rsidRDefault="006111A1" w:rsidP="006111A1">
      <w:pPr>
        <w:pStyle w:val="Corpodetexto"/>
        <w:jc w:val="both"/>
        <w:rPr>
          <w:rFonts w:ascii="Arial" w:hAnsi="Arial" w:cs="Arial"/>
          <w:lang w:val="pt-BR"/>
        </w:rPr>
      </w:pPr>
    </w:p>
    <w:p w14:paraId="2ADE5FD3" w14:textId="77777777" w:rsidR="006111A1" w:rsidRPr="006111A1" w:rsidRDefault="006111A1" w:rsidP="006111A1">
      <w:pPr>
        <w:pStyle w:val="Corpodetexto"/>
        <w:jc w:val="both"/>
        <w:rPr>
          <w:rFonts w:ascii="Arial" w:hAnsi="Arial" w:cs="Arial"/>
          <w:lang w:val="pt-BR"/>
        </w:rPr>
      </w:pPr>
      <w:r w:rsidRPr="006111A1">
        <w:rPr>
          <w:rFonts w:ascii="Arial" w:hAnsi="Arial" w:cs="Arial"/>
          <w:b/>
          <w:bCs/>
          <w:lang w:val="pt-BR"/>
        </w:rPr>
        <w:t>Palavras-chave:</w:t>
      </w:r>
      <w:r w:rsidRPr="006111A1">
        <w:rPr>
          <w:rFonts w:ascii="Arial" w:hAnsi="Arial" w:cs="Arial"/>
          <w:lang w:val="pt-BR"/>
        </w:rPr>
        <w:t> </w:t>
      </w:r>
      <w:bookmarkStart w:id="2" w:name="_Hlk213617351"/>
      <w:r w:rsidRPr="006111A1">
        <w:rPr>
          <w:rFonts w:ascii="Arial" w:hAnsi="Arial" w:cs="Arial"/>
          <w:lang w:val="pt-BR"/>
        </w:rPr>
        <w:t>saúde mental; professores; burnout</w:t>
      </w:r>
      <w:bookmarkEnd w:id="2"/>
      <w:r w:rsidRPr="006111A1">
        <w:rPr>
          <w:rFonts w:ascii="Arial" w:hAnsi="Arial" w:cs="Arial"/>
          <w:lang w:val="pt-BR"/>
        </w:rPr>
        <w:t>.</w:t>
      </w:r>
    </w:p>
    <w:p w14:paraId="3BDF70CE" w14:textId="77777777" w:rsidR="006111A1" w:rsidRPr="00403306" w:rsidRDefault="006111A1" w:rsidP="006111A1">
      <w:pPr>
        <w:pStyle w:val="Corpodetexto"/>
        <w:jc w:val="both"/>
        <w:rPr>
          <w:rFonts w:ascii="Arial" w:hAnsi="Arial" w:cs="Arial"/>
        </w:rPr>
      </w:pPr>
    </w:p>
    <w:p w14:paraId="0EF632A3" w14:textId="55B7AB65" w:rsidR="008F15A8" w:rsidRDefault="008F15A8" w:rsidP="006111A1">
      <w:pPr>
        <w:pStyle w:val="Corpodetexto"/>
        <w:spacing w:line="259" w:lineRule="auto"/>
        <w:ind w:right="791"/>
        <w:jc w:val="both"/>
        <w:rPr>
          <w:rFonts w:ascii="Arial" w:hAnsi="Arial" w:cs="Arial"/>
          <w:spacing w:val="-2"/>
        </w:rPr>
      </w:pPr>
      <w:r>
        <w:rPr>
          <w:rFonts w:ascii="Arial" w:hAnsi="Arial" w:cs="Arial"/>
          <w:spacing w:val="-2"/>
        </w:rPr>
        <w:br w:type="page"/>
      </w:r>
    </w:p>
    <w:p w14:paraId="16015DBA" w14:textId="341C21B6" w:rsidR="00135365" w:rsidRPr="008F15A8" w:rsidRDefault="00135365" w:rsidP="00135365">
      <w:pPr>
        <w:pStyle w:val="Corpodetexto"/>
        <w:spacing w:line="259" w:lineRule="auto"/>
        <w:ind w:right="842"/>
        <w:jc w:val="center"/>
        <w:rPr>
          <w:rFonts w:ascii="Arial" w:hAnsi="Arial" w:cs="Arial"/>
          <w:b/>
          <w:bCs/>
          <w:i/>
          <w:iCs/>
          <w:lang w:val="en-US"/>
        </w:rPr>
      </w:pPr>
      <w:r w:rsidRPr="008F15A8">
        <w:rPr>
          <w:rFonts w:ascii="Arial" w:hAnsi="Arial" w:cs="Arial"/>
          <w:b/>
          <w:bCs/>
          <w:i/>
          <w:iCs/>
          <w:lang w:val="en-US"/>
        </w:rPr>
        <w:lastRenderedPageBreak/>
        <w:t>ABSTRACT</w:t>
      </w:r>
    </w:p>
    <w:p w14:paraId="4D755920" w14:textId="77777777" w:rsidR="00135365" w:rsidRPr="00403306" w:rsidRDefault="00135365" w:rsidP="00135365">
      <w:pPr>
        <w:pStyle w:val="Corpodetexto"/>
        <w:spacing w:line="259" w:lineRule="auto"/>
        <w:ind w:right="842"/>
        <w:jc w:val="both"/>
        <w:rPr>
          <w:rFonts w:ascii="Arial" w:hAnsi="Arial" w:cs="Arial"/>
          <w:lang w:val="en-US"/>
        </w:rPr>
      </w:pPr>
    </w:p>
    <w:p w14:paraId="1FA2F722" w14:textId="77777777" w:rsidR="006111A1" w:rsidRPr="008F15A8" w:rsidRDefault="006111A1" w:rsidP="006111A1">
      <w:pPr>
        <w:pStyle w:val="Corpodetexto"/>
        <w:jc w:val="both"/>
        <w:rPr>
          <w:rFonts w:ascii="Arial" w:hAnsi="Arial" w:cs="Arial"/>
          <w:i/>
          <w:iCs/>
          <w:lang w:val="en-US"/>
        </w:rPr>
      </w:pPr>
      <w:r w:rsidRPr="008F15A8">
        <w:rPr>
          <w:rFonts w:ascii="Arial" w:hAnsi="Arial" w:cs="Arial"/>
          <w:i/>
          <w:iCs/>
          <w:lang w:val="en-US"/>
        </w:rPr>
        <w:t>The present study aimed to analyze the factors that affect teachers’ mental health, emphasizing the main challenges experienced in the school environment and their impact on pedagogical practice. The methodology consisted of a qualitative literature review, based on scientific articles, dissertations, theses, and books published in the last ten years in databases such as SciELO, LILACS, PubMed, and Google Scholar. The material selection enabled the systematization of relevant information on stressors, recurrent symptoms, and coping strategies related to teachers’ psychological distress. The discussion revealed that teachers are exposed to multiple risk factors, such as workload overload, institutional pressure, professional devaluation, precarious infrastructure, and lack of pedagogical and institutional support. These elements contribute to the increase of symptoms of anxiety, depression, and burnout syndrome, affecting not only individual well-being but also the quality of the teaching-learning process. At the same time, strategies such as self-care practices, emotional management, continuing education, and public policies for professional appreciation proved to be relevant in mitigating the effects of psychological strain. It is concluded that the research question was answered and the specific objectives were achieved, as the study identified stressors, mapped symptoms, related working conditions to well-being, and presented coping strategies. Future research should explore mixed methodologies and comparative analyses to better understand the development of teachers’ mental health issues in different educational contexts.</w:t>
      </w:r>
    </w:p>
    <w:p w14:paraId="49EF840E" w14:textId="77777777" w:rsidR="006111A1" w:rsidRPr="006111A1" w:rsidRDefault="006111A1" w:rsidP="006111A1">
      <w:pPr>
        <w:pStyle w:val="Corpodetexto"/>
        <w:jc w:val="both"/>
        <w:rPr>
          <w:rFonts w:ascii="Arial" w:hAnsi="Arial" w:cs="Arial"/>
          <w:lang w:val="en-US"/>
        </w:rPr>
      </w:pPr>
    </w:p>
    <w:p w14:paraId="04A9E97A" w14:textId="77777777" w:rsidR="006111A1" w:rsidRPr="008F15A8" w:rsidRDefault="006111A1" w:rsidP="006111A1">
      <w:pPr>
        <w:pStyle w:val="Corpodetexto"/>
        <w:jc w:val="both"/>
        <w:rPr>
          <w:rFonts w:ascii="Arial" w:hAnsi="Arial" w:cs="Arial"/>
          <w:i/>
          <w:iCs/>
          <w:lang w:val="en-US"/>
        </w:rPr>
      </w:pPr>
      <w:r w:rsidRPr="008F15A8">
        <w:rPr>
          <w:rFonts w:ascii="Arial" w:hAnsi="Arial" w:cs="Arial"/>
          <w:b/>
          <w:bCs/>
          <w:i/>
          <w:iCs/>
          <w:lang w:val="en-US"/>
        </w:rPr>
        <w:t>Keywords:</w:t>
      </w:r>
      <w:r w:rsidRPr="008F15A8">
        <w:rPr>
          <w:rFonts w:ascii="Arial" w:hAnsi="Arial" w:cs="Arial"/>
          <w:i/>
          <w:iCs/>
          <w:lang w:val="en-US"/>
        </w:rPr>
        <w:t> mental health; teachers; burnout.</w:t>
      </w:r>
    </w:p>
    <w:p w14:paraId="2ECFD1B9" w14:textId="77777777" w:rsidR="006111A1" w:rsidRDefault="006111A1" w:rsidP="00135365">
      <w:pPr>
        <w:pStyle w:val="Corpodetexto"/>
        <w:spacing w:before="157" w:line="261" w:lineRule="auto"/>
        <w:ind w:right="3"/>
        <w:jc w:val="both"/>
        <w:rPr>
          <w:rFonts w:ascii="Arial" w:hAnsi="Arial" w:cs="Arial"/>
          <w:lang w:val="en"/>
        </w:rPr>
      </w:pPr>
    </w:p>
    <w:p w14:paraId="1AC8AD09" w14:textId="77777777" w:rsidR="006111A1" w:rsidRDefault="006111A1" w:rsidP="00135365">
      <w:pPr>
        <w:pStyle w:val="Corpodetexto"/>
        <w:spacing w:before="157" w:line="261" w:lineRule="auto"/>
        <w:ind w:right="3"/>
        <w:jc w:val="both"/>
        <w:rPr>
          <w:rFonts w:ascii="Arial" w:hAnsi="Arial" w:cs="Arial"/>
          <w:lang w:val="en"/>
        </w:rPr>
      </w:pPr>
    </w:p>
    <w:p w14:paraId="55F87A01" w14:textId="75AD775A" w:rsidR="00135365" w:rsidRPr="00403306" w:rsidRDefault="00135365" w:rsidP="00135365">
      <w:pPr>
        <w:pStyle w:val="Corpodetexto"/>
        <w:spacing w:before="157" w:line="261" w:lineRule="auto"/>
        <w:ind w:right="3"/>
        <w:jc w:val="both"/>
        <w:rPr>
          <w:rFonts w:ascii="Arial" w:hAnsi="Arial" w:cs="Arial"/>
          <w:lang w:val="en-US"/>
        </w:rPr>
      </w:pPr>
      <w:r w:rsidRPr="00403306">
        <w:rPr>
          <w:rFonts w:ascii="Arial" w:hAnsi="Arial" w:cs="Arial"/>
          <w:lang w:val="en-US"/>
        </w:rPr>
        <w:t>.</w:t>
      </w:r>
      <w:r w:rsidRPr="00403306">
        <w:rPr>
          <w:rFonts w:ascii="Arial" w:hAnsi="Arial" w:cs="Arial"/>
          <w:spacing w:val="-2"/>
          <w:lang w:val="en-US"/>
        </w:rPr>
        <w:br w:type="page"/>
      </w:r>
    </w:p>
    <w:p w14:paraId="0D708218" w14:textId="77777777" w:rsidR="00135365" w:rsidRPr="00403306" w:rsidRDefault="00135365" w:rsidP="00135365">
      <w:pPr>
        <w:ind w:right="134"/>
        <w:jc w:val="center"/>
        <w:rPr>
          <w:rFonts w:ascii="Arial" w:hAnsi="Arial" w:cs="Arial"/>
          <w:b/>
          <w:sz w:val="28"/>
        </w:rPr>
      </w:pPr>
      <w:r w:rsidRPr="00403306">
        <w:rPr>
          <w:rFonts w:ascii="Arial" w:hAnsi="Arial" w:cs="Arial"/>
          <w:b/>
          <w:spacing w:val="-2"/>
          <w:sz w:val="28"/>
        </w:rPr>
        <w:lastRenderedPageBreak/>
        <w:t>SUMÁRIO</w:t>
      </w:r>
    </w:p>
    <w:p w14:paraId="402D786B" w14:textId="77777777" w:rsidR="00F52B27" w:rsidRPr="00403306" w:rsidRDefault="00F52B27">
      <w:pPr>
        <w:pStyle w:val="Corpodetexto"/>
        <w:rPr>
          <w:rFonts w:ascii="Arial" w:hAnsi="Arial" w:cs="Arial"/>
        </w:rPr>
      </w:pPr>
    </w:p>
    <w:sdt>
      <w:sdtPr>
        <w:rPr>
          <w:rFonts w:ascii="Arial MT" w:eastAsia="Arial MT" w:hAnsi="Arial MT" w:cs="Arial MT"/>
          <w:color w:val="auto"/>
          <w:sz w:val="22"/>
          <w:szCs w:val="22"/>
          <w:lang w:val="pt-PT" w:eastAsia="en-US"/>
        </w:rPr>
        <w:id w:val="767813273"/>
        <w:docPartObj>
          <w:docPartGallery w:val="Table of Contents"/>
          <w:docPartUnique/>
        </w:docPartObj>
      </w:sdtPr>
      <w:sdtEndPr>
        <w:rPr>
          <w:b/>
          <w:bCs/>
          <w:noProof/>
        </w:rPr>
      </w:sdtEndPr>
      <w:sdtContent>
        <w:p w14:paraId="0AA7010C" w14:textId="68858D72" w:rsidR="006111A1" w:rsidRDefault="006111A1">
          <w:pPr>
            <w:pStyle w:val="CabealhodoSumrio"/>
          </w:pPr>
        </w:p>
        <w:p w14:paraId="29E8C07A" w14:textId="2F31C988" w:rsidR="006111A1" w:rsidRPr="008F15A8" w:rsidRDefault="006111A1" w:rsidP="008F15A8">
          <w:pPr>
            <w:pStyle w:val="Sumrio2"/>
            <w:tabs>
              <w:tab w:val="right" w:leader="dot" w:pos="9072"/>
            </w:tabs>
            <w:spacing w:before="0" w:line="360" w:lineRule="auto"/>
            <w:ind w:left="0"/>
            <w:jc w:val="both"/>
            <w:rPr>
              <w:rFonts w:ascii="Arial" w:hAnsi="Arial" w:cs="Arial"/>
              <w:noProof/>
              <w:kern w:val="2"/>
              <w:sz w:val="24"/>
              <w:szCs w:val="24"/>
              <w14:ligatures w14:val="standardContextual"/>
            </w:rPr>
          </w:pPr>
          <w:r w:rsidRPr="008F15A8">
            <w:rPr>
              <w:rFonts w:ascii="Arial" w:hAnsi="Arial" w:cs="Arial"/>
              <w:b w:val="0"/>
              <w:bCs w:val="0"/>
              <w:sz w:val="24"/>
              <w:szCs w:val="24"/>
            </w:rPr>
            <w:fldChar w:fldCharType="begin"/>
          </w:r>
          <w:r w:rsidRPr="008F15A8">
            <w:rPr>
              <w:rFonts w:ascii="Arial" w:hAnsi="Arial" w:cs="Arial"/>
              <w:sz w:val="24"/>
              <w:szCs w:val="24"/>
            </w:rPr>
            <w:instrText>TOC \o "1-3" \h \z \u</w:instrText>
          </w:r>
          <w:r w:rsidRPr="008F15A8">
            <w:rPr>
              <w:rFonts w:ascii="Arial" w:hAnsi="Arial" w:cs="Arial"/>
              <w:b w:val="0"/>
              <w:bCs w:val="0"/>
              <w:sz w:val="24"/>
              <w:szCs w:val="24"/>
            </w:rPr>
            <w:fldChar w:fldCharType="separate"/>
          </w:r>
          <w:hyperlink w:anchor="_Toc210894956" w:history="1">
            <w:r w:rsidRPr="008F15A8">
              <w:rPr>
                <w:rStyle w:val="Hyperlink"/>
                <w:rFonts w:ascii="Arial" w:hAnsi="Arial" w:cs="Arial"/>
                <w:noProof/>
                <w:spacing w:val="-2"/>
                <w:sz w:val="24"/>
                <w:szCs w:val="24"/>
              </w:rPr>
              <w:t>Introdução</w:t>
            </w:r>
            <w:r w:rsidRPr="008F15A8">
              <w:rPr>
                <w:rFonts w:ascii="Arial" w:hAnsi="Arial" w:cs="Arial"/>
                <w:noProof/>
                <w:webHidden/>
                <w:sz w:val="24"/>
                <w:szCs w:val="24"/>
              </w:rPr>
              <w:tab/>
            </w:r>
            <w:r w:rsidRPr="008F15A8">
              <w:rPr>
                <w:rFonts w:ascii="Arial" w:hAnsi="Arial" w:cs="Arial"/>
                <w:noProof/>
                <w:webHidden/>
                <w:sz w:val="24"/>
                <w:szCs w:val="24"/>
              </w:rPr>
              <w:fldChar w:fldCharType="begin"/>
            </w:r>
            <w:r w:rsidRPr="008F15A8">
              <w:rPr>
                <w:rFonts w:ascii="Arial" w:hAnsi="Arial" w:cs="Arial"/>
                <w:noProof/>
                <w:webHidden/>
                <w:sz w:val="24"/>
                <w:szCs w:val="24"/>
              </w:rPr>
              <w:instrText xml:space="preserve"> PAGEREF _Toc210894956 \h </w:instrText>
            </w:r>
            <w:r w:rsidRPr="008F15A8">
              <w:rPr>
                <w:rFonts w:ascii="Arial" w:hAnsi="Arial" w:cs="Arial"/>
                <w:noProof/>
                <w:webHidden/>
                <w:sz w:val="24"/>
                <w:szCs w:val="24"/>
              </w:rPr>
            </w:r>
            <w:r w:rsidRPr="008F15A8">
              <w:rPr>
                <w:rFonts w:ascii="Arial" w:hAnsi="Arial" w:cs="Arial"/>
                <w:noProof/>
                <w:webHidden/>
                <w:sz w:val="24"/>
                <w:szCs w:val="24"/>
              </w:rPr>
              <w:fldChar w:fldCharType="separate"/>
            </w:r>
            <w:r w:rsidR="00C13152">
              <w:rPr>
                <w:rFonts w:ascii="Arial" w:hAnsi="Arial" w:cs="Arial"/>
                <w:noProof/>
                <w:webHidden/>
                <w:sz w:val="24"/>
                <w:szCs w:val="24"/>
              </w:rPr>
              <w:t>12</w:t>
            </w:r>
            <w:r w:rsidRPr="008F15A8">
              <w:rPr>
                <w:rFonts w:ascii="Arial" w:hAnsi="Arial" w:cs="Arial"/>
                <w:noProof/>
                <w:webHidden/>
                <w:sz w:val="24"/>
                <w:szCs w:val="24"/>
              </w:rPr>
              <w:fldChar w:fldCharType="end"/>
            </w:r>
          </w:hyperlink>
        </w:p>
        <w:p w14:paraId="612CC888" w14:textId="7DBCA14A" w:rsidR="006111A1" w:rsidRPr="008F15A8" w:rsidRDefault="002514A7" w:rsidP="008F15A8">
          <w:pPr>
            <w:pStyle w:val="Sumrio2"/>
            <w:tabs>
              <w:tab w:val="left" w:pos="720"/>
              <w:tab w:val="right" w:leader="dot" w:pos="9072"/>
            </w:tabs>
            <w:spacing w:before="0" w:line="360" w:lineRule="auto"/>
            <w:ind w:left="0"/>
            <w:jc w:val="both"/>
            <w:rPr>
              <w:rFonts w:ascii="Arial" w:hAnsi="Arial" w:cs="Arial"/>
              <w:noProof/>
              <w:kern w:val="2"/>
              <w:sz w:val="24"/>
              <w:szCs w:val="24"/>
              <w14:ligatures w14:val="standardContextual"/>
            </w:rPr>
          </w:pPr>
          <w:hyperlink w:anchor="_Toc210894963" w:history="1">
            <w:r w:rsidR="006111A1" w:rsidRPr="008F15A8">
              <w:rPr>
                <w:rStyle w:val="Hyperlink"/>
                <w:rFonts w:ascii="Arial" w:hAnsi="Arial" w:cs="Arial"/>
                <w:noProof/>
                <w:sz w:val="24"/>
                <w:szCs w:val="24"/>
              </w:rPr>
              <w:t>1.</w:t>
            </w:r>
            <w:r w:rsidR="008F15A8">
              <w:rPr>
                <w:rFonts w:ascii="Arial" w:hAnsi="Arial" w:cs="Arial"/>
                <w:noProof/>
                <w:kern w:val="2"/>
                <w:sz w:val="24"/>
                <w:szCs w:val="24"/>
                <w14:ligatures w14:val="standardContextual"/>
              </w:rPr>
              <w:t xml:space="preserve"> </w:t>
            </w:r>
            <w:r w:rsidR="006111A1" w:rsidRPr="008F15A8">
              <w:rPr>
                <w:rStyle w:val="Hyperlink"/>
                <w:rFonts w:ascii="Arial" w:hAnsi="Arial" w:cs="Arial"/>
                <w:noProof/>
                <w:spacing w:val="-2"/>
                <w:sz w:val="24"/>
                <w:szCs w:val="24"/>
              </w:rPr>
              <w:t>Metodologia</w:t>
            </w:r>
            <w:r w:rsidR="006111A1" w:rsidRPr="008F15A8">
              <w:rPr>
                <w:rFonts w:ascii="Arial" w:hAnsi="Arial" w:cs="Arial"/>
                <w:noProof/>
                <w:webHidden/>
                <w:sz w:val="24"/>
                <w:szCs w:val="24"/>
              </w:rPr>
              <w:tab/>
            </w:r>
            <w:r w:rsidR="006111A1" w:rsidRPr="008F15A8">
              <w:rPr>
                <w:rFonts w:ascii="Arial" w:hAnsi="Arial" w:cs="Arial"/>
                <w:noProof/>
                <w:webHidden/>
                <w:sz w:val="24"/>
                <w:szCs w:val="24"/>
              </w:rPr>
              <w:fldChar w:fldCharType="begin"/>
            </w:r>
            <w:r w:rsidR="006111A1" w:rsidRPr="008F15A8">
              <w:rPr>
                <w:rFonts w:ascii="Arial" w:hAnsi="Arial" w:cs="Arial"/>
                <w:noProof/>
                <w:webHidden/>
                <w:sz w:val="24"/>
                <w:szCs w:val="24"/>
              </w:rPr>
              <w:instrText xml:space="preserve"> PAGEREF _Toc210894963 \h </w:instrText>
            </w:r>
            <w:r w:rsidR="006111A1" w:rsidRPr="008F15A8">
              <w:rPr>
                <w:rFonts w:ascii="Arial" w:hAnsi="Arial" w:cs="Arial"/>
                <w:noProof/>
                <w:webHidden/>
                <w:sz w:val="24"/>
                <w:szCs w:val="24"/>
              </w:rPr>
            </w:r>
            <w:r w:rsidR="006111A1" w:rsidRPr="008F15A8">
              <w:rPr>
                <w:rFonts w:ascii="Arial" w:hAnsi="Arial" w:cs="Arial"/>
                <w:noProof/>
                <w:webHidden/>
                <w:sz w:val="24"/>
                <w:szCs w:val="24"/>
              </w:rPr>
              <w:fldChar w:fldCharType="separate"/>
            </w:r>
            <w:r w:rsidR="00C13152">
              <w:rPr>
                <w:rFonts w:ascii="Arial" w:hAnsi="Arial" w:cs="Arial"/>
                <w:noProof/>
                <w:webHidden/>
                <w:sz w:val="24"/>
                <w:szCs w:val="24"/>
              </w:rPr>
              <w:t>14</w:t>
            </w:r>
            <w:r w:rsidR="006111A1" w:rsidRPr="008F15A8">
              <w:rPr>
                <w:rFonts w:ascii="Arial" w:hAnsi="Arial" w:cs="Arial"/>
                <w:noProof/>
                <w:webHidden/>
                <w:sz w:val="24"/>
                <w:szCs w:val="24"/>
              </w:rPr>
              <w:fldChar w:fldCharType="end"/>
            </w:r>
          </w:hyperlink>
        </w:p>
        <w:p w14:paraId="0E15FCCD" w14:textId="3D660125" w:rsidR="006111A1" w:rsidRPr="008F15A8" w:rsidRDefault="002514A7" w:rsidP="008F15A8">
          <w:pPr>
            <w:pStyle w:val="Sumrio2"/>
            <w:tabs>
              <w:tab w:val="right" w:leader="dot" w:pos="9072"/>
            </w:tabs>
            <w:spacing w:before="0" w:line="360" w:lineRule="auto"/>
            <w:ind w:left="0"/>
            <w:jc w:val="both"/>
            <w:rPr>
              <w:rFonts w:ascii="Arial" w:hAnsi="Arial" w:cs="Arial"/>
              <w:noProof/>
              <w:kern w:val="2"/>
              <w:sz w:val="24"/>
              <w:szCs w:val="24"/>
              <w14:ligatures w14:val="standardContextual"/>
            </w:rPr>
          </w:pPr>
          <w:hyperlink w:anchor="_Toc210894964" w:history="1">
            <w:r w:rsidR="006111A1" w:rsidRPr="008F15A8">
              <w:rPr>
                <w:rStyle w:val="Hyperlink"/>
                <w:rFonts w:ascii="Arial" w:hAnsi="Arial" w:cs="Arial"/>
                <w:noProof/>
                <w:sz w:val="24"/>
                <w:szCs w:val="24"/>
              </w:rPr>
              <w:t>1.1 Levantamento bibliográfico</w:t>
            </w:r>
            <w:r w:rsidR="006111A1" w:rsidRPr="008F15A8">
              <w:rPr>
                <w:rFonts w:ascii="Arial" w:hAnsi="Arial" w:cs="Arial"/>
                <w:noProof/>
                <w:webHidden/>
                <w:sz w:val="24"/>
                <w:szCs w:val="24"/>
              </w:rPr>
              <w:tab/>
            </w:r>
            <w:r w:rsidR="006111A1" w:rsidRPr="008F15A8">
              <w:rPr>
                <w:rFonts w:ascii="Arial" w:hAnsi="Arial" w:cs="Arial"/>
                <w:noProof/>
                <w:webHidden/>
                <w:sz w:val="24"/>
                <w:szCs w:val="24"/>
              </w:rPr>
              <w:fldChar w:fldCharType="begin"/>
            </w:r>
            <w:r w:rsidR="006111A1" w:rsidRPr="008F15A8">
              <w:rPr>
                <w:rFonts w:ascii="Arial" w:hAnsi="Arial" w:cs="Arial"/>
                <w:noProof/>
                <w:webHidden/>
                <w:sz w:val="24"/>
                <w:szCs w:val="24"/>
              </w:rPr>
              <w:instrText xml:space="preserve"> PAGEREF _Toc210894964 \h </w:instrText>
            </w:r>
            <w:r w:rsidR="006111A1" w:rsidRPr="008F15A8">
              <w:rPr>
                <w:rFonts w:ascii="Arial" w:hAnsi="Arial" w:cs="Arial"/>
                <w:noProof/>
                <w:webHidden/>
                <w:sz w:val="24"/>
                <w:szCs w:val="24"/>
              </w:rPr>
            </w:r>
            <w:r w:rsidR="006111A1" w:rsidRPr="008F15A8">
              <w:rPr>
                <w:rFonts w:ascii="Arial" w:hAnsi="Arial" w:cs="Arial"/>
                <w:noProof/>
                <w:webHidden/>
                <w:sz w:val="24"/>
                <w:szCs w:val="24"/>
              </w:rPr>
              <w:fldChar w:fldCharType="separate"/>
            </w:r>
            <w:r w:rsidR="00C13152">
              <w:rPr>
                <w:rFonts w:ascii="Arial" w:hAnsi="Arial" w:cs="Arial"/>
                <w:noProof/>
                <w:webHidden/>
                <w:sz w:val="24"/>
                <w:szCs w:val="24"/>
              </w:rPr>
              <w:t>15</w:t>
            </w:r>
            <w:r w:rsidR="006111A1" w:rsidRPr="008F15A8">
              <w:rPr>
                <w:rFonts w:ascii="Arial" w:hAnsi="Arial" w:cs="Arial"/>
                <w:noProof/>
                <w:webHidden/>
                <w:sz w:val="24"/>
                <w:szCs w:val="24"/>
              </w:rPr>
              <w:fldChar w:fldCharType="end"/>
            </w:r>
          </w:hyperlink>
        </w:p>
        <w:p w14:paraId="7C8FED74" w14:textId="2CBF0B2D" w:rsidR="006111A1" w:rsidRPr="008F15A8" w:rsidRDefault="002514A7" w:rsidP="008F15A8">
          <w:pPr>
            <w:pStyle w:val="Sumrio2"/>
            <w:tabs>
              <w:tab w:val="right" w:leader="dot" w:pos="9072"/>
            </w:tabs>
            <w:spacing w:before="0" w:line="360" w:lineRule="auto"/>
            <w:ind w:left="0"/>
            <w:jc w:val="both"/>
            <w:rPr>
              <w:rFonts w:ascii="Arial" w:hAnsi="Arial" w:cs="Arial"/>
              <w:noProof/>
              <w:kern w:val="2"/>
              <w:sz w:val="24"/>
              <w:szCs w:val="24"/>
              <w14:ligatures w14:val="standardContextual"/>
            </w:rPr>
          </w:pPr>
          <w:hyperlink w:anchor="_Toc210894965" w:history="1">
            <w:r w:rsidR="006111A1" w:rsidRPr="008F15A8">
              <w:rPr>
                <w:rStyle w:val="Hyperlink"/>
                <w:rFonts w:ascii="Arial" w:hAnsi="Arial" w:cs="Arial"/>
                <w:noProof/>
                <w:sz w:val="24"/>
                <w:szCs w:val="24"/>
              </w:rPr>
              <w:t>1.2 Coleta de dados</w:t>
            </w:r>
            <w:r w:rsidR="006111A1" w:rsidRPr="008F15A8">
              <w:rPr>
                <w:rFonts w:ascii="Arial" w:hAnsi="Arial" w:cs="Arial"/>
                <w:noProof/>
                <w:webHidden/>
                <w:sz w:val="24"/>
                <w:szCs w:val="24"/>
              </w:rPr>
              <w:tab/>
            </w:r>
            <w:r w:rsidR="006111A1" w:rsidRPr="008F15A8">
              <w:rPr>
                <w:rFonts w:ascii="Arial" w:hAnsi="Arial" w:cs="Arial"/>
                <w:noProof/>
                <w:webHidden/>
                <w:sz w:val="24"/>
                <w:szCs w:val="24"/>
              </w:rPr>
              <w:fldChar w:fldCharType="begin"/>
            </w:r>
            <w:r w:rsidR="006111A1" w:rsidRPr="008F15A8">
              <w:rPr>
                <w:rFonts w:ascii="Arial" w:hAnsi="Arial" w:cs="Arial"/>
                <w:noProof/>
                <w:webHidden/>
                <w:sz w:val="24"/>
                <w:szCs w:val="24"/>
              </w:rPr>
              <w:instrText xml:space="preserve"> PAGEREF _Toc210894965 \h </w:instrText>
            </w:r>
            <w:r w:rsidR="006111A1" w:rsidRPr="008F15A8">
              <w:rPr>
                <w:rFonts w:ascii="Arial" w:hAnsi="Arial" w:cs="Arial"/>
                <w:noProof/>
                <w:webHidden/>
                <w:sz w:val="24"/>
                <w:szCs w:val="24"/>
              </w:rPr>
            </w:r>
            <w:r w:rsidR="006111A1" w:rsidRPr="008F15A8">
              <w:rPr>
                <w:rFonts w:ascii="Arial" w:hAnsi="Arial" w:cs="Arial"/>
                <w:noProof/>
                <w:webHidden/>
                <w:sz w:val="24"/>
                <w:szCs w:val="24"/>
              </w:rPr>
              <w:fldChar w:fldCharType="separate"/>
            </w:r>
            <w:r w:rsidR="00C13152">
              <w:rPr>
                <w:rFonts w:ascii="Arial" w:hAnsi="Arial" w:cs="Arial"/>
                <w:noProof/>
                <w:webHidden/>
                <w:sz w:val="24"/>
                <w:szCs w:val="24"/>
              </w:rPr>
              <w:t>15</w:t>
            </w:r>
            <w:r w:rsidR="006111A1" w:rsidRPr="008F15A8">
              <w:rPr>
                <w:rFonts w:ascii="Arial" w:hAnsi="Arial" w:cs="Arial"/>
                <w:noProof/>
                <w:webHidden/>
                <w:sz w:val="24"/>
                <w:szCs w:val="24"/>
              </w:rPr>
              <w:fldChar w:fldCharType="end"/>
            </w:r>
          </w:hyperlink>
        </w:p>
        <w:p w14:paraId="3895890E" w14:textId="2A3968FF" w:rsidR="006111A1" w:rsidRPr="008F15A8" w:rsidRDefault="002514A7" w:rsidP="008F15A8">
          <w:pPr>
            <w:pStyle w:val="Sumrio2"/>
            <w:tabs>
              <w:tab w:val="left" w:pos="720"/>
              <w:tab w:val="right" w:leader="dot" w:pos="9072"/>
            </w:tabs>
            <w:spacing w:before="0" w:line="360" w:lineRule="auto"/>
            <w:ind w:left="0"/>
            <w:jc w:val="both"/>
            <w:rPr>
              <w:rFonts w:ascii="Arial" w:hAnsi="Arial" w:cs="Arial"/>
              <w:noProof/>
              <w:kern w:val="2"/>
              <w:sz w:val="24"/>
              <w:szCs w:val="24"/>
              <w14:ligatures w14:val="standardContextual"/>
            </w:rPr>
          </w:pPr>
          <w:hyperlink w:anchor="_Toc210894966" w:history="1">
            <w:r w:rsidR="006111A1" w:rsidRPr="008F15A8">
              <w:rPr>
                <w:rStyle w:val="Hyperlink"/>
                <w:rFonts w:ascii="Arial" w:hAnsi="Arial" w:cs="Arial"/>
                <w:noProof/>
                <w:sz w:val="24"/>
                <w:szCs w:val="24"/>
              </w:rPr>
              <w:t>2.</w:t>
            </w:r>
            <w:r w:rsidR="008F15A8">
              <w:rPr>
                <w:rFonts w:ascii="Arial" w:hAnsi="Arial" w:cs="Arial"/>
                <w:noProof/>
                <w:kern w:val="2"/>
                <w:sz w:val="24"/>
                <w:szCs w:val="24"/>
                <w14:ligatures w14:val="standardContextual"/>
              </w:rPr>
              <w:t xml:space="preserve"> </w:t>
            </w:r>
            <w:r w:rsidR="006111A1" w:rsidRPr="008F15A8">
              <w:rPr>
                <w:rStyle w:val="Hyperlink"/>
                <w:rFonts w:ascii="Arial" w:hAnsi="Arial" w:cs="Arial"/>
                <w:noProof/>
                <w:sz w:val="24"/>
                <w:szCs w:val="24"/>
              </w:rPr>
              <w:t>Referencial</w:t>
            </w:r>
            <w:r w:rsidR="006111A1" w:rsidRPr="008F15A8">
              <w:rPr>
                <w:rStyle w:val="Hyperlink"/>
                <w:rFonts w:ascii="Arial" w:hAnsi="Arial" w:cs="Arial"/>
                <w:noProof/>
                <w:spacing w:val="-14"/>
                <w:sz w:val="24"/>
                <w:szCs w:val="24"/>
              </w:rPr>
              <w:t xml:space="preserve"> </w:t>
            </w:r>
            <w:r w:rsidR="006111A1" w:rsidRPr="008F15A8">
              <w:rPr>
                <w:rStyle w:val="Hyperlink"/>
                <w:rFonts w:ascii="Arial" w:hAnsi="Arial" w:cs="Arial"/>
                <w:noProof/>
                <w:spacing w:val="-2"/>
                <w:sz w:val="24"/>
                <w:szCs w:val="24"/>
              </w:rPr>
              <w:t>teórico</w:t>
            </w:r>
            <w:r w:rsidR="006111A1" w:rsidRPr="008F15A8">
              <w:rPr>
                <w:rFonts w:ascii="Arial" w:hAnsi="Arial" w:cs="Arial"/>
                <w:noProof/>
                <w:webHidden/>
                <w:sz w:val="24"/>
                <w:szCs w:val="24"/>
              </w:rPr>
              <w:tab/>
            </w:r>
            <w:r w:rsidR="006111A1" w:rsidRPr="008F15A8">
              <w:rPr>
                <w:rFonts w:ascii="Arial" w:hAnsi="Arial" w:cs="Arial"/>
                <w:noProof/>
                <w:webHidden/>
                <w:sz w:val="24"/>
                <w:szCs w:val="24"/>
              </w:rPr>
              <w:fldChar w:fldCharType="begin"/>
            </w:r>
            <w:r w:rsidR="006111A1" w:rsidRPr="008F15A8">
              <w:rPr>
                <w:rFonts w:ascii="Arial" w:hAnsi="Arial" w:cs="Arial"/>
                <w:noProof/>
                <w:webHidden/>
                <w:sz w:val="24"/>
                <w:szCs w:val="24"/>
              </w:rPr>
              <w:instrText xml:space="preserve"> PAGEREF _Toc210894966 \h </w:instrText>
            </w:r>
            <w:r w:rsidR="006111A1" w:rsidRPr="008F15A8">
              <w:rPr>
                <w:rFonts w:ascii="Arial" w:hAnsi="Arial" w:cs="Arial"/>
                <w:noProof/>
                <w:webHidden/>
                <w:sz w:val="24"/>
                <w:szCs w:val="24"/>
              </w:rPr>
            </w:r>
            <w:r w:rsidR="006111A1" w:rsidRPr="008F15A8">
              <w:rPr>
                <w:rFonts w:ascii="Arial" w:hAnsi="Arial" w:cs="Arial"/>
                <w:noProof/>
                <w:webHidden/>
                <w:sz w:val="24"/>
                <w:szCs w:val="24"/>
              </w:rPr>
              <w:fldChar w:fldCharType="separate"/>
            </w:r>
            <w:r w:rsidR="00C13152">
              <w:rPr>
                <w:rFonts w:ascii="Arial" w:hAnsi="Arial" w:cs="Arial"/>
                <w:noProof/>
                <w:webHidden/>
                <w:sz w:val="24"/>
                <w:szCs w:val="24"/>
              </w:rPr>
              <w:t>16</w:t>
            </w:r>
            <w:r w:rsidR="006111A1" w:rsidRPr="008F15A8">
              <w:rPr>
                <w:rFonts w:ascii="Arial" w:hAnsi="Arial" w:cs="Arial"/>
                <w:noProof/>
                <w:webHidden/>
                <w:sz w:val="24"/>
                <w:szCs w:val="24"/>
              </w:rPr>
              <w:fldChar w:fldCharType="end"/>
            </w:r>
          </w:hyperlink>
        </w:p>
        <w:p w14:paraId="5BB7B91F" w14:textId="2F7A8FE7" w:rsidR="006111A1" w:rsidRPr="008F15A8" w:rsidRDefault="002514A7" w:rsidP="008F15A8">
          <w:pPr>
            <w:pStyle w:val="Sumrio2"/>
            <w:tabs>
              <w:tab w:val="right" w:leader="dot" w:pos="9072"/>
            </w:tabs>
            <w:spacing w:before="0" w:line="360" w:lineRule="auto"/>
            <w:ind w:left="0"/>
            <w:jc w:val="both"/>
            <w:rPr>
              <w:rFonts w:ascii="Arial" w:hAnsi="Arial" w:cs="Arial"/>
              <w:noProof/>
              <w:kern w:val="2"/>
              <w:sz w:val="24"/>
              <w:szCs w:val="24"/>
              <w14:ligatures w14:val="standardContextual"/>
            </w:rPr>
          </w:pPr>
          <w:hyperlink w:anchor="_Toc210894967" w:history="1">
            <w:r w:rsidR="006111A1" w:rsidRPr="008F15A8">
              <w:rPr>
                <w:rStyle w:val="Hyperlink"/>
                <w:rFonts w:ascii="Arial" w:hAnsi="Arial" w:cs="Arial"/>
                <w:noProof/>
                <w:sz w:val="24"/>
                <w:szCs w:val="24"/>
                <w:lang w:val="pt-BR" w:eastAsia="pt-BR"/>
              </w:rPr>
              <w:t>2.1 Fatores que afetam a saúde mental dos professores</w:t>
            </w:r>
            <w:r w:rsidR="006111A1" w:rsidRPr="008F15A8">
              <w:rPr>
                <w:rFonts w:ascii="Arial" w:hAnsi="Arial" w:cs="Arial"/>
                <w:noProof/>
                <w:webHidden/>
                <w:sz w:val="24"/>
                <w:szCs w:val="24"/>
              </w:rPr>
              <w:tab/>
            </w:r>
            <w:r w:rsidR="006111A1" w:rsidRPr="008F15A8">
              <w:rPr>
                <w:rFonts w:ascii="Arial" w:hAnsi="Arial" w:cs="Arial"/>
                <w:noProof/>
                <w:webHidden/>
                <w:sz w:val="24"/>
                <w:szCs w:val="24"/>
              </w:rPr>
              <w:fldChar w:fldCharType="begin"/>
            </w:r>
            <w:r w:rsidR="006111A1" w:rsidRPr="008F15A8">
              <w:rPr>
                <w:rFonts w:ascii="Arial" w:hAnsi="Arial" w:cs="Arial"/>
                <w:noProof/>
                <w:webHidden/>
                <w:sz w:val="24"/>
                <w:szCs w:val="24"/>
              </w:rPr>
              <w:instrText xml:space="preserve"> PAGEREF _Toc210894967 \h </w:instrText>
            </w:r>
            <w:r w:rsidR="006111A1" w:rsidRPr="008F15A8">
              <w:rPr>
                <w:rFonts w:ascii="Arial" w:hAnsi="Arial" w:cs="Arial"/>
                <w:noProof/>
                <w:webHidden/>
                <w:sz w:val="24"/>
                <w:szCs w:val="24"/>
              </w:rPr>
            </w:r>
            <w:r w:rsidR="006111A1" w:rsidRPr="008F15A8">
              <w:rPr>
                <w:rFonts w:ascii="Arial" w:hAnsi="Arial" w:cs="Arial"/>
                <w:noProof/>
                <w:webHidden/>
                <w:sz w:val="24"/>
                <w:szCs w:val="24"/>
              </w:rPr>
              <w:fldChar w:fldCharType="separate"/>
            </w:r>
            <w:r w:rsidR="00C13152">
              <w:rPr>
                <w:rFonts w:ascii="Arial" w:hAnsi="Arial" w:cs="Arial"/>
                <w:noProof/>
                <w:webHidden/>
                <w:sz w:val="24"/>
                <w:szCs w:val="24"/>
              </w:rPr>
              <w:t>16</w:t>
            </w:r>
            <w:r w:rsidR="006111A1" w:rsidRPr="008F15A8">
              <w:rPr>
                <w:rFonts w:ascii="Arial" w:hAnsi="Arial" w:cs="Arial"/>
                <w:noProof/>
                <w:webHidden/>
                <w:sz w:val="24"/>
                <w:szCs w:val="24"/>
              </w:rPr>
              <w:fldChar w:fldCharType="end"/>
            </w:r>
          </w:hyperlink>
        </w:p>
        <w:p w14:paraId="3245CEB4" w14:textId="6456CDEC" w:rsidR="006111A1" w:rsidRPr="008F15A8" w:rsidRDefault="002514A7" w:rsidP="008F15A8">
          <w:pPr>
            <w:pStyle w:val="Sumrio2"/>
            <w:tabs>
              <w:tab w:val="right" w:leader="dot" w:pos="9072"/>
            </w:tabs>
            <w:spacing w:before="0" w:line="360" w:lineRule="auto"/>
            <w:ind w:left="0"/>
            <w:jc w:val="both"/>
            <w:rPr>
              <w:rFonts w:ascii="Arial" w:hAnsi="Arial" w:cs="Arial"/>
              <w:noProof/>
              <w:kern w:val="2"/>
              <w:sz w:val="24"/>
              <w:szCs w:val="24"/>
              <w14:ligatures w14:val="standardContextual"/>
            </w:rPr>
          </w:pPr>
          <w:hyperlink w:anchor="_Toc210894968" w:history="1">
            <w:r w:rsidR="006111A1" w:rsidRPr="008F15A8">
              <w:rPr>
                <w:rStyle w:val="Hyperlink"/>
                <w:rFonts w:ascii="Arial" w:hAnsi="Arial" w:cs="Arial"/>
                <w:noProof/>
                <w:sz w:val="24"/>
                <w:szCs w:val="24"/>
                <w:lang w:val="pt-BR" w:eastAsia="pt-BR"/>
              </w:rPr>
              <w:t>2.2 Principais estressores vivenciados na carreira docente</w:t>
            </w:r>
            <w:r w:rsidR="006111A1" w:rsidRPr="008F15A8">
              <w:rPr>
                <w:rFonts w:ascii="Arial" w:hAnsi="Arial" w:cs="Arial"/>
                <w:noProof/>
                <w:webHidden/>
                <w:sz w:val="24"/>
                <w:szCs w:val="24"/>
              </w:rPr>
              <w:tab/>
            </w:r>
            <w:r w:rsidR="006111A1" w:rsidRPr="008F15A8">
              <w:rPr>
                <w:rFonts w:ascii="Arial" w:hAnsi="Arial" w:cs="Arial"/>
                <w:noProof/>
                <w:webHidden/>
                <w:sz w:val="24"/>
                <w:szCs w:val="24"/>
              </w:rPr>
              <w:fldChar w:fldCharType="begin"/>
            </w:r>
            <w:r w:rsidR="006111A1" w:rsidRPr="008F15A8">
              <w:rPr>
                <w:rFonts w:ascii="Arial" w:hAnsi="Arial" w:cs="Arial"/>
                <w:noProof/>
                <w:webHidden/>
                <w:sz w:val="24"/>
                <w:szCs w:val="24"/>
              </w:rPr>
              <w:instrText xml:space="preserve"> PAGEREF _Toc210894968 \h </w:instrText>
            </w:r>
            <w:r w:rsidR="006111A1" w:rsidRPr="008F15A8">
              <w:rPr>
                <w:rFonts w:ascii="Arial" w:hAnsi="Arial" w:cs="Arial"/>
                <w:noProof/>
                <w:webHidden/>
                <w:sz w:val="24"/>
                <w:szCs w:val="24"/>
              </w:rPr>
            </w:r>
            <w:r w:rsidR="006111A1" w:rsidRPr="008F15A8">
              <w:rPr>
                <w:rFonts w:ascii="Arial" w:hAnsi="Arial" w:cs="Arial"/>
                <w:noProof/>
                <w:webHidden/>
                <w:sz w:val="24"/>
                <w:szCs w:val="24"/>
              </w:rPr>
              <w:fldChar w:fldCharType="separate"/>
            </w:r>
            <w:r w:rsidR="00C13152">
              <w:rPr>
                <w:rFonts w:ascii="Arial" w:hAnsi="Arial" w:cs="Arial"/>
                <w:noProof/>
                <w:webHidden/>
                <w:sz w:val="24"/>
                <w:szCs w:val="24"/>
              </w:rPr>
              <w:t>22</w:t>
            </w:r>
            <w:r w:rsidR="006111A1" w:rsidRPr="008F15A8">
              <w:rPr>
                <w:rFonts w:ascii="Arial" w:hAnsi="Arial" w:cs="Arial"/>
                <w:noProof/>
                <w:webHidden/>
                <w:sz w:val="24"/>
                <w:szCs w:val="24"/>
              </w:rPr>
              <w:fldChar w:fldCharType="end"/>
            </w:r>
          </w:hyperlink>
        </w:p>
        <w:p w14:paraId="3B178D35" w14:textId="6638A8A5" w:rsidR="006111A1" w:rsidRPr="008F15A8" w:rsidRDefault="002514A7" w:rsidP="008F15A8">
          <w:pPr>
            <w:pStyle w:val="Sumrio2"/>
            <w:tabs>
              <w:tab w:val="right" w:leader="dot" w:pos="9072"/>
            </w:tabs>
            <w:spacing w:before="0" w:line="360" w:lineRule="auto"/>
            <w:ind w:left="0"/>
            <w:jc w:val="both"/>
            <w:rPr>
              <w:rFonts w:ascii="Arial" w:hAnsi="Arial" w:cs="Arial"/>
              <w:noProof/>
              <w:kern w:val="2"/>
              <w:sz w:val="24"/>
              <w:szCs w:val="24"/>
              <w14:ligatures w14:val="standardContextual"/>
            </w:rPr>
          </w:pPr>
          <w:hyperlink w:anchor="_Toc210894969" w:history="1">
            <w:r w:rsidR="006111A1" w:rsidRPr="008F15A8">
              <w:rPr>
                <w:rStyle w:val="Hyperlink"/>
                <w:rFonts w:ascii="Arial" w:hAnsi="Arial" w:cs="Arial"/>
                <w:noProof/>
                <w:sz w:val="24"/>
                <w:szCs w:val="24"/>
                <w:lang w:val="pt-BR" w:eastAsia="pt-BR"/>
              </w:rPr>
              <w:t>2.3 Sintomas de adoecimento psíquico mais recorrentes entre docentes</w:t>
            </w:r>
            <w:r w:rsidR="006111A1" w:rsidRPr="008F15A8">
              <w:rPr>
                <w:rFonts w:ascii="Arial" w:hAnsi="Arial" w:cs="Arial"/>
                <w:noProof/>
                <w:webHidden/>
                <w:sz w:val="24"/>
                <w:szCs w:val="24"/>
              </w:rPr>
              <w:tab/>
            </w:r>
            <w:r w:rsidR="006111A1" w:rsidRPr="008F15A8">
              <w:rPr>
                <w:rFonts w:ascii="Arial" w:hAnsi="Arial" w:cs="Arial"/>
                <w:noProof/>
                <w:webHidden/>
                <w:sz w:val="24"/>
                <w:szCs w:val="24"/>
              </w:rPr>
              <w:fldChar w:fldCharType="begin"/>
            </w:r>
            <w:r w:rsidR="006111A1" w:rsidRPr="008F15A8">
              <w:rPr>
                <w:rFonts w:ascii="Arial" w:hAnsi="Arial" w:cs="Arial"/>
                <w:noProof/>
                <w:webHidden/>
                <w:sz w:val="24"/>
                <w:szCs w:val="24"/>
              </w:rPr>
              <w:instrText xml:space="preserve"> PAGEREF _Toc210894969 \h </w:instrText>
            </w:r>
            <w:r w:rsidR="006111A1" w:rsidRPr="008F15A8">
              <w:rPr>
                <w:rFonts w:ascii="Arial" w:hAnsi="Arial" w:cs="Arial"/>
                <w:noProof/>
                <w:webHidden/>
                <w:sz w:val="24"/>
                <w:szCs w:val="24"/>
              </w:rPr>
            </w:r>
            <w:r w:rsidR="006111A1" w:rsidRPr="008F15A8">
              <w:rPr>
                <w:rFonts w:ascii="Arial" w:hAnsi="Arial" w:cs="Arial"/>
                <w:noProof/>
                <w:webHidden/>
                <w:sz w:val="24"/>
                <w:szCs w:val="24"/>
              </w:rPr>
              <w:fldChar w:fldCharType="separate"/>
            </w:r>
            <w:r w:rsidR="00C13152">
              <w:rPr>
                <w:rFonts w:ascii="Arial" w:hAnsi="Arial" w:cs="Arial"/>
                <w:noProof/>
                <w:webHidden/>
                <w:sz w:val="24"/>
                <w:szCs w:val="24"/>
              </w:rPr>
              <w:t>27</w:t>
            </w:r>
            <w:r w:rsidR="006111A1" w:rsidRPr="008F15A8">
              <w:rPr>
                <w:rFonts w:ascii="Arial" w:hAnsi="Arial" w:cs="Arial"/>
                <w:noProof/>
                <w:webHidden/>
                <w:sz w:val="24"/>
                <w:szCs w:val="24"/>
              </w:rPr>
              <w:fldChar w:fldCharType="end"/>
            </w:r>
          </w:hyperlink>
        </w:p>
        <w:p w14:paraId="1190FE7A" w14:textId="03B112C5" w:rsidR="006111A1" w:rsidRPr="008F15A8" w:rsidRDefault="002514A7" w:rsidP="008F15A8">
          <w:pPr>
            <w:pStyle w:val="Sumrio2"/>
            <w:tabs>
              <w:tab w:val="right" w:leader="dot" w:pos="9072"/>
            </w:tabs>
            <w:spacing w:before="0" w:line="360" w:lineRule="auto"/>
            <w:ind w:left="0"/>
            <w:jc w:val="both"/>
            <w:rPr>
              <w:rFonts w:ascii="Arial" w:hAnsi="Arial" w:cs="Arial"/>
              <w:noProof/>
              <w:kern w:val="2"/>
              <w:sz w:val="24"/>
              <w:szCs w:val="24"/>
              <w14:ligatures w14:val="standardContextual"/>
            </w:rPr>
          </w:pPr>
          <w:hyperlink w:anchor="_Toc210894970" w:history="1">
            <w:r w:rsidR="006111A1" w:rsidRPr="008F15A8">
              <w:rPr>
                <w:rStyle w:val="Hyperlink"/>
                <w:rFonts w:ascii="Arial" w:hAnsi="Arial" w:cs="Arial"/>
                <w:noProof/>
                <w:sz w:val="24"/>
                <w:szCs w:val="24"/>
                <w:lang w:val="pt-BR" w:eastAsia="pt-BR"/>
              </w:rPr>
              <w:t>2.4 Relação entre condições de trabalho e bem-estar docente</w:t>
            </w:r>
            <w:r w:rsidR="006111A1" w:rsidRPr="008F15A8">
              <w:rPr>
                <w:rFonts w:ascii="Arial" w:hAnsi="Arial" w:cs="Arial"/>
                <w:noProof/>
                <w:webHidden/>
                <w:sz w:val="24"/>
                <w:szCs w:val="24"/>
              </w:rPr>
              <w:tab/>
            </w:r>
            <w:r w:rsidR="006111A1" w:rsidRPr="008F15A8">
              <w:rPr>
                <w:rFonts w:ascii="Arial" w:hAnsi="Arial" w:cs="Arial"/>
                <w:noProof/>
                <w:webHidden/>
                <w:sz w:val="24"/>
                <w:szCs w:val="24"/>
              </w:rPr>
              <w:fldChar w:fldCharType="begin"/>
            </w:r>
            <w:r w:rsidR="006111A1" w:rsidRPr="008F15A8">
              <w:rPr>
                <w:rFonts w:ascii="Arial" w:hAnsi="Arial" w:cs="Arial"/>
                <w:noProof/>
                <w:webHidden/>
                <w:sz w:val="24"/>
                <w:szCs w:val="24"/>
              </w:rPr>
              <w:instrText xml:space="preserve"> PAGEREF _Toc210894970 \h </w:instrText>
            </w:r>
            <w:r w:rsidR="006111A1" w:rsidRPr="008F15A8">
              <w:rPr>
                <w:rFonts w:ascii="Arial" w:hAnsi="Arial" w:cs="Arial"/>
                <w:noProof/>
                <w:webHidden/>
                <w:sz w:val="24"/>
                <w:szCs w:val="24"/>
              </w:rPr>
            </w:r>
            <w:r w:rsidR="006111A1" w:rsidRPr="008F15A8">
              <w:rPr>
                <w:rFonts w:ascii="Arial" w:hAnsi="Arial" w:cs="Arial"/>
                <w:noProof/>
                <w:webHidden/>
                <w:sz w:val="24"/>
                <w:szCs w:val="24"/>
              </w:rPr>
              <w:fldChar w:fldCharType="separate"/>
            </w:r>
            <w:r w:rsidR="00C13152">
              <w:rPr>
                <w:rFonts w:ascii="Arial" w:hAnsi="Arial" w:cs="Arial"/>
                <w:noProof/>
                <w:webHidden/>
                <w:sz w:val="24"/>
                <w:szCs w:val="24"/>
              </w:rPr>
              <w:t>32</w:t>
            </w:r>
            <w:r w:rsidR="006111A1" w:rsidRPr="008F15A8">
              <w:rPr>
                <w:rFonts w:ascii="Arial" w:hAnsi="Arial" w:cs="Arial"/>
                <w:noProof/>
                <w:webHidden/>
                <w:sz w:val="24"/>
                <w:szCs w:val="24"/>
              </w:rPr>
              <w:fldChar w:fldCharType="end"/>
            </w:r>
          </w:hyperlink>
        </w:p>
        <w:p w14:paraId="027F4818" w14:textId="00DE04D4" w:rsidR="006111A1" w:rsidRPr="008F15A8" w:rsidRDefault="002514A7" w:rsidP="008F15A8">
          <w:pPr>
            <w:pStyle w:val="Sumrio2"/>
            <w:tabs>
              <w:tab w:val="right" w:leader="dot" w:pos="9072"/>
            </w:tabs>
            <w:spacing w:before="0" w:line="360" w:lineRule="auto"/>
            <w:ind w:left="0"/>
            <w:jc w:val="both"/>
            <w:rPr>
              <w:rFonts w:ascii="Arial" w:hAnsi="Arial" w:cs="Arial"/>
              <w:noProof/>
              <w:kern w:val="2"/>
              <w:sz w:val="24"/>
              <w:szCs w:val="24"/>
              <w14:ligatures w14:val="standardContextual"/>
            </w:rPr>
          </w:pPr>
          <w:hyperlink w:anchor="_Toc210894971" w:history="1">
            <w:r w:rsidR="006111A1" w:rsidRPr="008F15A8">
              <w:rPr>
                <w:rStyle w:val="Hyperlink"/>
                <w:rFonts w:ascii="Arial" w:hAnsi="Arial" w:cs="Arial"/>
                <w:noProof/>
                <w:sz w:val="24"/>
                <w:szCs w:val="24"/>
                <w:lang w:val="pt-BR" w:eastAsia="pt-BR"/>
              </w:rPr>
              <w:t>2.5 Estratégias de enfrentamento e promoção da saúde mental</w:t>
            </w:r>
            <w:r w:rsidR="006111A1" w:rsidRPr="008F15A8">
              <w:rPr>
                <w:rFonts w:ascii="Arial" w:hAnsi="Arial" w:cs="Arial"/>
                <w:noProof/>
                <w:webHidden/>
                <w:sz w:val="24"/>
                <w:szCs w:val="24"/>
              </w:rPr>
              <w:tab/>
            </w:r>
            <w:r w:rsidR="006111A1" w:rsidRPr="008F15A8">
              <w:rPr>
                <w:rFonts w:ascii="Arial" w:hAnsi="Arial" w:cs="Arial"/>
                <w:noProof/>
                <w:webHidden/>
                <w:sz w:val="24"/>
                <w:szCs w:val="24"/>
              </w:rPr>
              <w:fldChar w:fldCharType="begin"/>
            </w:r>
            <w:r w:rsidR="006111A1" w:rsidRPr="008F15A8">
              <w:rPr>
                <w:rFonts w:ascii="Arial" w:hAnsi="Arial" w:cs="Arial"/>
                <w:noProof/>
                <w:webHidden/>
                <w:sz w:val="24"/>
                <w:szCs w:val="24"/>
              </w:rPr>
              <w:instrText xml:space="preserve"> PAGEREF _Toc210894971 \h </w:instrText>
            </w:r>
            <w:r w:rsidR="006111A1" w:rsidRPr="008F15A8">
              <w:rPr>
                <w:rFonts w:ascii="Arial" w:hAnsi="Arial" w:cs="Arial"/>
                <w:noProof/>
                <w:webHidden/>
                <w:sz w:val="24"/>
                <w:szCs w:val="24"/>
              </w:rPr>
            </w:r>
            <w:r w:rsidR="006111A1" w:rsidRPr="008F15A8">
              <w:rPr>
                <w:rFonts w:ascii="Arial" w:hAnsi="Arial" w:cs="Arial"/>
                <w:noProof/>
                <w:webHidden/>
                <w:sz w:val="24"/>
                <w:szCs w:val="24"/>
              </w:rPr>
              <w:fldChar w:fldCharType="separate"/>
            </w:r>
            <w:r w:rsidR="00C13152">
              <w:rPr>
                <w:rFonts w:ascii="Arial" w:hAnsi="Arial" w:cs="Arial"/>
                <w:noProof/>
                <w:webHidden/>
                <w:sz w:val="24"/>
                <w:szCs w:val="24"/>
              </w:rPr>
              <w:t>38</w:t>
            </w:r>
            <w:r w:rsidR="006111A1" w:rsidRPr="008F15A8">
              <w:rPr>
                <w:rFonts w:ascii="Arial" w:hAnsi="Arial" w:cs="Arial"/>
                <w:noProof/>
                <w:webHidden/>
                <w:sz w:val="24"/>
                <w:szCs w:val="24"/>
              </w:rPr>
              <w:fldChar w:fldCharType="end"/>
            </w:r>
          </w:hyperlink>
        </w:p>
        <w:p w14:paraId="67FD75EA" w14:textId="268BC2D4" w:rsidR="006111A1" w:rsidRPr="008F15A8" w:rsidRDefault="002514A7" w:rsidP="008F15A8">
          <w:pPr>
            <w:pStyle w:val="Sumrio2"/>
            <w:tabs>
              <w:tab w:val="left" w:pos="720"/>
              <w:tab w:val="right" w:leader="dot" w:pos="9072"/>
            </w:tabs>
            <w:spacing w:before="0" w:line="360" w:lineRule="auto"/>
            <w:ind w:left="0"/>
            <w:jc w:val="both"/>
            <w:rPr>
              <w:rFonts w:ascii="Arial" w:hAnsi="Arial" w:cs="Arial"/>
              <w:noProof/>
              <w:kern w:val="2"/>
              <w:sz w:val="24"/>
              <w:szCs w:val="24"/>
              <w14:ligatures w14:val="standardContextual"/>
            </w:rPr>
          </w:pPr>
          <w:hyperlink w:anchor="_Toc210894972" w:history="1">
            <w:r w:rsidR="006111A1" w:rsidRPr="008F15A8">
              <w:rPr>
                <w:rStyle w:val="Hyperlink"/>
                <w:rFonts w:ascii="Arial" w:hAnsi="Arial" w:cs="Arial"/>
                <w:noProof/>
                <w:sz w:val="24"/>
                <w:szCs w:val="24"/>
              </w:rPr>
              <w:t>3.</w:t>
            </w:r>
            <w:r w:rsidR="008F15A8">
              <w:rPr>
                <w:rFonts w:ascii="Arial" w:hAnsi="Arial" w:cs="Arial"/>
                <w:noProof/>
                <w:kern w:val="2"/>
                <w:sz w:val="24"/>
                <w:szCs w:val="24"/>
                <w14:ligatures w14:val="standardContextual"/>
              </w:rPr>
              <w:t xml:space="preserve"> </w:t>
            </w:r>
            <w:r w:rsidR="006111A1" w:rsidRPr="008F15A8">
              <w:rPr>
                <w:rStyle w:val="Hyperlink"/>
                <w:rFonts w:ascii="Arial" w:hAnsi="Arial" w:cs="Arial"/>
                <w:noProof/>
                <w:spacing w:val="-2"/>
                <w:sz w:val="24"/>
                <w:szCs w:val="24"/>
              </w:rPr>
              <w:t>Análise de dados</w:t>
            </w:r>
            <w:r w:rsidR="006111A1" w:rsidRPr="008F15A8">
              <w:rPr>
                <w:rFonts w:ascii="Arial" w:hAnsi="Arial" w:cs="Arial"/>
                <w:noProof/>
                <w:webHidden/>
                <w:sz w:val="24"/>
                <w:szCs w:val="24"/>
              </w:rPr>
              <w:tab/>
            </w:r>
            <w:r w:rsidR="006111A1" w:rsidRPr="008F15A8">
              <w:rPr>
                <w:rFonts w:ascii="Arial" w:hAnsi="Arial" w:cs="Arial"/>
                <w:noProof/>
                <w:webHidden/>
                <w:sz w:val="24"/>
                <w:szCs w:val="24"/>
              </w:rPr>
              <w:fldChar w:fldCharType="begin"/>
            </w:r>
            <w:r w:rsidR="006111A1" w:rsidRPr="008F15A8">
              <w:rPr>
                <w:rFonts w:ascii="Arial" w:hAnsi="Arial" w:cs="Arial"/>
                <w:noProof/>
                <w:webHidden/>
                <w:sz w:val="24"/>
                <w:szCs w:val="24"/>
              </w:rPr>
              <w:instrText xml:space="preserve"> PAGEREF _Toc210894972 \h </w:instrText>
            </w:r>
            <w:r w:rsidR="006111A1" w:rsidRPr="008F15A8">
              <w:rPr>
                <w:rFonts w:ascii="Arial" w:hAnsi="Arial" w:cs="Arial"/>
                <w:noProof/>
                <w:webHidden/>
                <w:sz w:val="24"/>
                <w:szCs w:val="24"/>
              </w:rPr>
            </w:r>
            <w:r w:rsidR="006111A1" w:rsidRPr="008F15A8">
              <w:rPr>
                <w:rFonts w:ascii="Arial" w:hAnsi="Arial" w:cs="Arial"/>
                <w:noProof/>
                <w:webHidden/>
                <w:sz w:val="24"/>
                <w:szCs w:val="24"/>
              </w:rPr>
              <w:fldChar w:fldCharType="separate"/>
            </w:r>
            <w:r w:rsidR="00C13152">
              <w:rPr>
                <w:rFonts w:ascii="Arial" w:hAnsi="Arial" w:cs="Arial"/>
                <w:noProof/>
                <w:webHidden/>
                <w:sz w:val="24"/>
                <w:szCs w:val="24"/>
              </w:rPr>
              <w:t>42</w:t>
            </w:r>
            <w:r w:rsidR="006111A1" w:rsidRPr="008F15A8">
              <w:rPr>
                <w:rFonts w:ascii="Arial" w:hAnsi="Arial" w:cs="Arial"/>
                <w:noProof/>
                <w:webHidden/>
                <w:sz w:val="24"/>
                <w:szCs w:val="24"/>
              </w:rPr>
              <w:fldChar w:fldCharType="end"/>
            </w:r>
          </w:hyperlink>
        </w:p>
        <w:p w14:paraId="01A190DE" w14:textId="46D8F6BC" w:rsidR="006111A1" w:rsidRPr="008F15A8" w:rsidRDefault="002514A7" w:rsidP="008F15A8">
          <w:pPr>
            <w:pStyle w:val="Sumrio2"/>
            <w:tabs>
              <w:tab w:val="right" w:leader="dot" w:pos="9072"/>
            </w:tabs>
            <w:spacing w:before="0" w:line="360" w:lineRule="auto"/>
            <w:ind w:left="0"/>
            <w:jc w:val="both"/>
            <w:rPr>
              <w:rFonts w:ascii="Arial" w:hAnsi="Arial" w:cs="Arial"/>
              <w:noProof/>
              <w:kern w:val="2"/>
              <w:sz w:val="24"/>
              <w:szCs w:val="24"/>
              <w14:ligatures w14:val="standardContextual"/>
            </w:rPr>
          </w:pPr>
          <w:hyperlink w:anchor="_Toc210894973" w:history="1">
            <w:r w:rsidR="006111A1" w:rsidRPr="008F15A8">
              <w:rPr>
                <w:rStyle w:val="Hyperlink"/>
                <w:rFonts w:ascii="Arial" w:hAnsi="Arial" w:cs="Arial"/>
                <w:noProof/>
                <w:sz w:val="24"/>
                <w:szCs w:val="24"/>
              </w:rPr>
              <w:t>3.1 Formação continuada como instrumento de atualização e prevenção do adoecimento</w:t>
            </w:r>
            <w:r w:rsidR="006111A1" w:rsidRPr="008F15A8">
              <w:rPr>
                <w:rFonts w:ascii="Arial" w:hAnsi="Arial" w:cs="Arial"/>
                <w:noProof/>
                <w:webHidden/>
                <w:sz w:val="24"/>
                <w:szCs w:val="24"/>
              </w:rPr>
              <w:tab/>
            </w:r>
            <w:r w:rsidR="006111A1" w:rsidRPr="008F15A8">
              <w:rPr>
                <w:rFonts w:ascii="Arial" w:hAnsi="Arial" w:cs="Arial"/>
                <w:noProof/>
                <w:webHidden/>
                <w:sz w:val="24"/>
                <w:szCs w:val="24"/>
              </w:rPr>
              <w:fldChar w:fldCharType="begin"/>
            </w:r>
            <w:r w:rsidR="006111A1" w:rsidRPr="008F15A8">
              <w:rPr>
                <w:rFonts w:ascii="Arial" w:hAnsi="Arial" w:cs="Arial"/>
                <w:noProof/>
                <w:webHidden/>
                <w:sz w:val="24"/>
                <w:szCs w:val="24"/>
              </w:rPr>
              <w:instrText xml:space="preserve"> PAGEREF _Toc210894973 \h </w:instrText>
            </w:r>
            <w:r w:rsidR="006111A1" w:rsidRPr="008F15A8">
              <w:rPr>
                <w:rFonts w:ascii="Arial" w:hAnsi="Arial" w:cs="Arial"/>
                <w:noProof/>
                <w:webHidden/>
                <w:sz w:val="24"/>
                <w:szCs w:val="24"/>
              </w:rPr>
            </w:r>
            <w:r w:rsidR="006111A1" w:rsidRPr="008F15A8">
              <w:rPr>
                <w:rFonts w:ascii="Arial" w:hAnsi="Arial" w:cs="Arial"/>
                <w:noProof/>
                <w:webHidden/>
                <w:sz w:val="24"/>
                <w:szCs w:val="24"/>
              </w:rPr>
              <w:fldChar w:fldCharType="separate"/>
            </w:r>
            <w:r w:rsidR="00C13152">
              <w:rPr>
                <w:rFonts w:ascii="Arial" w:hAnsi="Arial" w:cs="Arial"/>
                <w:noProof/>
                <w:webHidden/>
                <w:sz w:val="24"/>
                <w:szCs w:val="24"/>
              </w:rPr>
              <w:t>42</w:t>
            </w:r>
            <w:r w:rsidR="006111A1" w:rsidRPr="008F15A8">
              <w:rPr>
                <w:rFonts w:ascii="Arial" w:hAnsi="Arial" w:cs="Arial"/>
                <w:noProof/>
                <w:webHidden/>
                <w:sz w:val="24"/>
                <w:szCs w:val="24"/>
              </w:rPr>
              <w:fldChar w:fldCharType="end"/>
            </w:r>
          </w:hyperlink>
        </w:p>
        <w:p w14:paraId="2E3F4C9F" w14:textId="1A1C09E9" w:rsidR="006111A1" w:rsidRPr="008F15A8" w:rsidRDefault="002514A7" w:rsidP="008F15A8">
          <w:pPr>
            <w:pStyle w:val="Sumrio2"/>
            <w:tabs>
              <w:tab w:val="right" w:leader="dot" w:pos="9072"/>
            </w:tabs>
            <w:spacing w:before="0" w:line="360" w:lineRule="auto"/>
            <w:ind w:left="0"/>
            <w:jc w:val="both"/>
            <w:rPr>
              <w:rFonts w:ascii="Arial" w:hAnsi="Arial" w:cs="Arial"/>
              <w:noProof/>
              <w:kern w:val="2"/>
              <w:sz w:val="24"/>
              <w:szCs w:val="24"/>
              <w14:ligatures w14:val="standardContextual"/>
            </w:rPr>
          </w:pPr>
          <w:hyperlink w:anchor="_Toc210894974" w:history="1">
            <w:r w:rsidR="006111A1" w:rsidRPr="008F15A8">
              <w:rPr>
                <w:rStyle w:val="Hyperlink"/>
                <w:rFonts w:ascii="Arial" w:hAnsi="Arial" w:cs="Arial"/>
                <w:noProof/>
                <w:sz w:val="24"/>
                <w:szCs w:val="24"/>
              </w:rPr>
              <w:t>3.2 O papel da coordenação pedagógica e do suporte institucional</w:t>
            </w:r>
            <w:r w:rsidR="006111A1" w:rsidRPr="008F15A8">
              <w:rPr>
                <w:rFonts w:ascii="Arial" w:hAnsi="Arial" w:cs="Arial"/>
                <w:noProof/>
                <w:webHidden/>
                <w:sz w:val="24"/>
                <w:szCs w:val="24"/>
              </w:rPr>
              <w:tab/>
            </w:r>
            <w:r w:rsidR="006111A1" w:rsidRPr="008F15A8">
              <w:rPr>
                <w:rFonts w:ascii="Arial" w:hAnsi="Arial" w:cs="Arial"/>
                <w:noProof/>
                <w:webHidden/>
                <w:sz w:val="24"/>
                <w:szCs w:val="24"/>
              </w:rPr>
              <w:fldChar w:fldCharType="begin"/>
            </w:r>
            <w:r w:rsidR="006111A1" w:rsidRPr="008F15A8">
              <w:rPr>
                <w:rFonts w:ascii="Arial" w:hAnsi="Arial" w:cs="Arial"/>
                <w:noProof/>
                <w:webHidden/>
                <w:sz w:val="24"/>
                <w:szCs w:val="24"/>
              </w:rPr>
              <w:instrText xml:space="preserve"> PAGEREF _Toc210894974 \h </w:instrText>
            </w:r>
            <w:r w:rsidR="006111A1" w:rsidRPr="008F15A8">
              <w:rPr>
                <w:rFonts w:ascii="Arial" w:hAnsi="Arial" w:cs="Arial"/>
                <w:noProof/>
                <w:webHidden/>
                <w:sz w:val="24"/>
                <w:szCs w:val="24"/>
              </w:rPr>
            </w:r>
            <w:r w:rsidR="006111A1" w:rsidRPr="008F15A8">
              <w:rPr>
                <w:rFonts w:ascii="Arial" w:hAnsi="Arial" w:cs="Arial"/>
                <w:noProof/>
                <w:webHidden/>
                <w:sz w:val="24"/>
                <w:szCs w:val="24"/>
              </w:rPr>
              <w:fldChar w:fldCharType="separate"/>
            </w:r>
            <w:r w:rsidR="00C13152">
              <w:rPr>
                <w:rFonts w:ascii="Arial" w:hAnsi="Arial" w:cs="Arial"/>
                <w:noProof/>
                <w:webHidden/>
                <w:sz w:val="24"/>
                <w:szCs w:val="24"/>
              </w:rPr>
              <w:t>44</w:t>
            </w:r>
            <w:r w:rsidR="006111A1" w:rsidRPr="008F15A8">
              <w:rPr>
                <w:rFonts w:ascii="Arial" w:hAnsi="Arial" w:cs="Arial"/>
                <w:noProof/>
                <w:webHidden/>
                <w:sz w:val="24"/>
                <w:szCs w:val="24"/>
              </w:rPr>
              <w:fldChar w:fldCharType="end"/>
            </w:r>
          </w:hyperlink>
        </w:p>
        <w:p w14:paraId="4D6B3D8A" w14:textId="663298BC" w:rsidR="006111A1" w:rsidRPr="008F15A8" w:rsidRDefault="002514A7" w:rsidP="008F15A8">
          <w:pPr>
            <w:pStyle w:val="Sumrio2"/>
            <w:tabs>
              <w:tab w:val="right" w:leader="dot" w:pos="9072"/>
            </w:tabs>
            <w:spacing w:before="0" w:line="360" w:lineRule="auto"/>
            <w:ind w:left="0"/>
            <w:jc w:val="both"/>
            <w:rPr>
              <w:rFonts w:ascii="Arial" w:hAnsi="Arial" w:cs="Arial"/>
              <w:noProof/>
              <w:kern w:val="2"/>
              <w:sz w:val="24"/>
              <w:szCs w:val="24"/>
              <w14:ligatures w14:val="standardContextual"/>
            </w:rPr>
          </w:pPr>
          <w:hyperlink w:anchor="_Toc210894975" w:history="1">
            <w:r w:rsidR="006111A1" w:rsidRPr="008F15A8">
              <w:rPr>
                <w:rStyle w:val="Hyperlink"/>
                <w:rFonts w:ascii="Arial" w:hAnsi="Arial" w:cs="Arial"/>
                <w:noProof/>
                <w:sz w:val="24"/>
                <w:szCs w:val="24"/>
              </w:rPr>
              <w:t>3.3 Inovação tecnológica e práticas colaborativas como estratégias de enfrentamento</w:t>
            </w:r>
            <w:r w:rsidR="006111A1" w:rsidRPr="008F15A8">
              <w:rPr>
                <w:rFonts w:ascii="Arial" w:hAnsi="Arial" w:cs="Arial"/>
                <w:noProof/>
                <w:webHidden/>
                <w:sz w:val="24"/>
                <w:szCs w:val="24"/>
              </w:rPr>
              <w:tab/>
            </w:r>
            <w:r w:rsidR="006111A1" w:rsidRPr="008F15A8">
              <w:rPr>
                <w:rFonts w:ascii="Arial" w:hAnsi="Arial" w:cs="Arial"/>
                <w:noProof/>
                <w:webHidden/>
                <w:sz w:val="24"/>
                <w:szCs w:val="24"/>
              </w:rPr>
              <w:fldChar w:fldCharType="begin"/>
            </w:r>
            <w:r w:rsidR="006111A1" w:rsidRPr="008F15A8">
              <w:rPr>
                <w:rFonts w:ascii="Arial" w:hAnsi="Arial" w:cs="Arial"/>
                <w:noProof/>
                <w:webHidden/>
                <w:sz w:val="24"/>
                <w:szCs w:val="24"/>
              </w:rPr>
              <w:instrText xml:space="preserve"> PAGEREF _Toc210894975 \h </w:instrText>
            </w:r>
            <w:r w:rsidR="006111A1" w:rsidRPr="008F15A8">
              <w:rPr>
                <w:rFonts w:ascii="Arial" w:hAnsi="Arial" w:cs="Arial"/>
                <w:noProof/>
                <w:webHidden/>
                <w:sz w:val="24"/>
                <w:szCs w:val="24"/>
              </w:rPr>
            </w:r>
            <w:r w:rsidR="006111A1" w:rsidRPr="008F15A8">
              <w:rPr>
                <w:rFonts w:ascii="Arial" w:hAnsi="Arial" w:cs="Arial"/>
                <w:noProof/>
                <w:webHidden/>
                <w:sz w:val="24"/>
                <w:szCs w:val="24"/>
              </w:rPr>
              <w:fldChar w:fldCharType="separate"/>
            </w:r>
            <w:r w:rsidR="00C13152">
              <w:rPr>
                <w:rFonts w:ascii="Arial" w:hAnsi="Arial" w:cs="Arial"/>
                <w:noProof/>
                <w:webHidden/>
                <w:sz w:val="24"/>
                <w:szCs w:val="24"/>
              </w:rPr>
              <w:t>45</w:t>
            </w:r>
            <w:r w:rsidR="006111A1" w:rsidRPr="008F15A8">
              <w:rPr>
                <w:rFonts w:ascii="Arial" w:hAnsi="Arial" w:cs="Arial"/>
                <w:noProof/>
                <w:webHidden/>
                <w:sz w:val="24"/>
                <w:szCs w:val="24"/>
              </w:rPr>
              <w:fldChar w:fldCharType="end"/>
            </w:r>
          </w:hyperlink>
        </w:p>
        <w:p w14:paraId="2624AAF1" w14:textId="48CF1751" w:rsidR="006111A1" w:rsidRPr="008F15A8" w:rsidRDefault="002514A7" w:rsidP="008F15A8">
          <w:pPr>
            <w:pStyle w:val="Sumrio2"/>
            <w:tabs>
              <w:tab w:val="left" w:pos="720"/>
              <w:tab w:val="right" w:leader="dot" w:pos="9072"/>
            </w:tabs>
            <w:spacing w:before="0" w:line="360" w:lineRule="auto"/>
            <w:ind w:left="0"/>
            <w:jc w:val="both"/>
            <w:rPr>
              <w:rFonts w:ascii="Arial" w:hAnsi="Arial" w:cs="Arial"/>
              <w:noProof/>
              <w:kern w:val="2"/>
              <w:sz w:val="24"/>
              <w:szCs w:val="24"/>
              <w14:ligatures w14:val="standardContextual"/>
            </w:rPr>
          </w:pPr>
          <w:hyperlink w:anchor="_Toc210894976" w:history="1">
            <w:r w:rsidR="006111A1" w:rsidRPr="008F15A8">
              <w:rPr>
                <w:rStyle w:val="Hyperlink"/>
                <w:rFonts w:ascii="Arial" w:hAnsi="Arial" w:cs="Arial"/>
                <w:noProof/>
                <w:sz w:val="24"/>
                <w:szCs w:val="24"/>
              </w:rPr>
              <w:t>4.</w:t>
            </w:r>
            <w:r w:rsidR="008F15A8">
              <w:rPr>
                <w:rFonts w:ascii="Arial" w:hAnsi="Arial" w:cs="Arial"/>
                <w:noProof/>
                <w:kern w:val="2"/>
                <w:sz w:val="24"/>
                <w:szCs w:val="24"/>
                <w14:ligatures w14:val="standardContextual"/>
              </w:rPr>
              <w:t xml:space="preserve"> </w:t>
            </w:r>
            <w:r w:rsidR="006111A1" w:rsidRPr="008F15A8">
              <w:rPr>
                <w:rStyle w:val="Hyperlink"/>
                <w:rFonts w:ascii="Arial" w:hAnsi="Arial" w:cs="Arial"/>
                <w:noProof/>
                <w:sz w:val="24"/>
                <w:szCs w:val="24"/>
              </w:rPr>
              <w:t>Considerações</w:t>
            </w:r>
            <w:r w:rsidR="006111A1" w:rsidRPr="008F15A8">
              <w:rPr>
                <w:rStyle w:val="Hyperlink"/>
                <w:rFonts w:ascii="Arial" w:hAnsi="Arial" w:cs="Arial"/>
                <w:noProof/>
                <w:spacing w:val="-16"/>
                <w:sz w:val="24"/>
                <w:szCs w:val="24"/>
              </w:rPr>
              <w:t xml:space="preserve"> </w:t>
            </w:r>
            <w:r w:rsidR="006111A1" w:rsidRPr="008F15A8">
              <w:rPr>
                <w:rStyle w:val="Hyperlink"/>
                <w:rFonts w:ascii="Arial" w:hAnsi="Arial" w:cs="Arial"/>
                <w:noProof/>
                <w:spacing w:val="-2"/>
                <w:sz w:val="24"/>
                <w:szCs w:val="24"/>
              </w:rPr>
              <w:t>Finais</w:t>
            </w:r>
            <w:r w:rsidR="006111A1" w:rsidRPr="008F15A8">
              <w:rPr>
                <w:rFonts w:ascii="Arial" w:hAnsi="Arial" w:cs="Arial"/>
                <w:noProof/>
                <w:webHidden/>
                <w:sz w:val="24"/>
                <w:szCs w:val="24"/>
              </w:rPr>
              <w:tab/>
            </w:r>
            <w:r w:rsidR="006111A1" w:rsidRPr="008F15A8">
              <w:rPr>
                <w:rFonts w:ascii="Arial" w:hAnsi="Arial" w:cs="Arial"/>
                <w:noProof/>
                <w:webHidden/>
                <w:sz w:val="24"/>
                <w:szCs w:val="24"/>
              </w:rPr>
              <w:fldChar w:fldCharType="begin"/>
            </w:r>
            <w:r w:rsidR="006111A1" w:rsidRPr="008F15A8">
              <w:rPr>
                <w:rFonts w:ascii="Arial" w:hAnsi="Arial" w:cs="Arial"/>
                <w:noProof/>
                <w:webHidden/>
                <w:sz w:val="24"/>
                <w:szCs w:val="24"/>
              </w:rPr>
              <w:instrText xml:space="preserve"> PAGEREF _Toc210894976 \h </w:instrText>
            </w:r>
            <w:r w:rsidR="006111A1" w:rsidRPr="008F15A8">
              <w:rPr>
                <w:rFonts w:ascii="Arial" w:hAnsi="Arial" w:cs="Arial"/>
                <w:noProof/>
                <w:webHidden/>
                <w:sz w:val="24"/>
                <w:szCs w:val="24"/>
              </w:rPr>
            </w:r>
            <w:r w:rsidR="006111A1" w:rsidRPr="008F15A8">
              <w:rPr>
                <w:rFonts w:ascii="Arial" w:hAnsi="Arial" w:cs="Arial"/>
                <w:noProof/>
                <w:webHidden/>
                <w:sz w:val="24"/>
                <w:szCs w:val="24"/>
              </w:rPr>
              <w:fldChar w:fldCharType="separate"/>
            </w:r>
            <w:r w:rsidR="00C13152">
              <w:rPr>
                <w:rFonts w:ascii="Arial" w:hAnsi="Arial" w:cs="Arial"/>
                <w:noProof/>
                <w:webHidden/>
                <w:sz w:val="24"/>
                <w:szCs w:val="24"/>
              </w:rPr>
              <w:t>48</w:t>
            </w:r>
            <w:r w:rsidR="006111A1" w:rsidRPr="008F15A8">
              <w:rPr>
                <w:rFonts w:ascii="Arial" w:hAnsi="Arial" w:cs="Arial"/>
                <w:noProof/>
                <w:webHidden/>
                <w:sz w:val="24"/>
                <w:szCs w:val="24"/>
              </w:rPr>
              <w:fldChar w:fldCharType="end"/>
            </w:r>
          </w:hyperlink>
        </w:p>
        <w:p w14:paraId="67BEAC93" w14:textId="79326521" w:rsidR="006111A1" w:rsidRPr="008F15A8" w:rsidRDefault="002514A7" w:rsidP="008F15A8">
          <w:pPr>
            <w:pStyle w:val="Sumrio2"/>
            <w:tabs>
              <w:tab w:val="right" w:leader="dot" w:pos="9072"/>
            </w:tabs>
            <w:spacing w:before="0" w:line="360" w:lineRule="auto"/>
            <w:ind w:left="0"/>
            <w:jc w:val="both"/>
            <w:rPr>
              <w:rFonts w:ascii="Arial" w:hAnsi="Arial" w:cs="Arial"/>
              <w:noProof/>
              <w:kern w:val="2"/>
              <w:sz w:val="24"/>
              <w:szCs w:val="24"/>
              <w14:ligatures w14:val="standardContextual"/>
            </w:rPr>
          </w:pPr>
          <w:hyperlink w:anchor="_Toc210894977" w:history="1">
            <w:r w:rsidR="006111A1" w:rsidRPr="008F15A8">
              <w:rPr>
                <w:rStyle w:val="Hyperlink"/>
                <w:rFonts w:ascii="Arial" w:hAnsi="Arial" w:cs="Arial"/>
                <w:noProof/>
                <w:spacing w:val="-2"/>
                <w:sz w:val="24"/>
                <w:szCs w:val="24"/>
              </w:rPr>
              <w:t>Referências</w:t>
            </w:r>
            <w:r w:rsidR="006111A1" w:rsidRPr="008F15A8">
              <w:rPr>
                <w:rFonts w:ascii="Arial" w:hAnsi="Arial" w:cs="Arial"/>
                <w:noProof/>
                <w:webHidden/>
                <w:sz w:val="24"/>
                <w:szCs w:val="24"/>
              </w:rPr>
              <w:tab/>
            </w:r>
            <w:r w:rsidR="006111A1" w:rsidRPr="008F15A8">
              <w:rPr>
                <w:rFonts w:ascii="Arial" w:hAnsi="Arial" w:cs="Arial"/>
                <w:noProof/>
                <w:webHidden/>
                <w:sz w:val="24"/>
                <w:szCs w:val="24"/>
              </w:rPr>
              <w:fldChar w:fldCharType="begin"/>
            </w:r>
            <w:r w:rsidR="006111A1" w:rsidRPr="008F15A8">
              <w:rPr>
                <w:rFonts w:ascii="Arial" w:hAnsi="Arial" w:cs="Arial"/>
                <w:noProof/>
                <w:webHidden/>
                <w:sz w:val="24"/>
                <w:szCs w:val="24"/>
              </w:rPr>
              <w:instrText xml:space="preserve"> PAGEREF _Toc210894977 \h </w:instrText>
            </w:r>
            <w:r w:rsidR="006111A1" w:rsidRPr="008F15A8">
              <w:rPr>
                <w:rFonts w:ascii="Arial" w:hAnsi="Arial" w:cs="Arial"/>
                <w:noProof/>
                <w:webHidden/>
                <w:sz w:val="24"/>
                <w:szCs w:val="24"/>
              </w:rPr>
            </w:r>
            <w:r w:rsidR="006111A1" w:rsidRPr="008F15A8">
              <w:rPr>
                <w:rFonts w:ascii="Arial" w:hAnsi="Arial" w:cs="Arial"/>
                <w:noProof/>
                <w:webHidden/>
                <w:sz w:val="24"/>
                <w:szCs w:val="24"/>
              </w:rPr>
              <w:fldChar w:fldCharType="separate"/>
            </w:r>
            <w:r w:rsidR="00C13152">
              <w:rPr>
                <w:rFonts w:ascii="Arial" w:hAnsi="Arial" w:cs="Arial"/>
                <w:noProof/>
                <w:webHidden/>
                <w:sz w:val="24"/>
                <w:szCs w:val="24"/>
              </w:rPr>
              <w:t>50</w:t>
            </w:r>
            <w:r w:rsidR="006111A1" w:rsidRPr="008F15A8">
              <w:rPr>
                <w:rFonts w:ascii="Arial" w:hAnsi="Arial" w:cs="Arial"/>
                <w:noProof/>
                <w:webHidden/>
                <w:sz w:val="24"/>
                <w:szCs w:val="24"/>
              </w:rPr>
              <w:fldChar w:fldCharType="end"/>
            </w:r>
          </w:hyperlink>
        </w:p>
        <w:p w14:paraId="43DFDDF6" w14:textId="1B5DF9F1" w:rsidR="006111A1" w:rsidRDefault="006111A1" w:rsidP="008F15A8">
          <w:pPr>
            <w:spacing w:line="360" w:lineRule="auto"/>
            <w:jc w:val="both"/>
          </w:pPr>
          <w:r w:rsidRPr="008F15A8">
            <w:rPr>
              <w:rFonts w:ascii="Arial" w:hAnsi="Arial" w:cs="Arial"/>
              <w:b/>
              <w:bCs/>
              <w:noProof/>
              <w:sz w:val="24"/>
              <w:szCs w:val="24"/>
            </w:rPr>
            <w:fldChar w:fldCharType="end"/>
          </w:r>
        </w:p>
      </w:sdtContent>
    </w:sdt>
    <w:p w14:paraId="367A7E6D" w14:textId="77777777" w:rsidR="006111A1" w:rsidRDefault="006111A1" w:rsidP="00135365">
      <w:pPr>
        <w:pStyle w:val="Corpodetexto"/>
        <w:ind w:left="141"/>
        <w:rPr>
          <w:rFonts w:ascii="Arial" w:hAnsi="Arial" w:cs="Arial"/>
          <w:color w:val="FF0000"/>
          <w:spacing w:val="-2"/>
        </w:rPr>
      </w:pPr>
    </w:p>
    <w:p w14:paraId="7CBA2B56" w14:textId="77777777" w:rsidR="006111A1" w:rsidRDefault="006111A1" w:rsidP="00135365">
      <w:pPr>
        <w:pStyle w:val="Corpodetexto"/>
        <w:ind w:left="141"/>
        <w:rPr>
          <w:rFonts w:ascii="Arial" w:hAnsi="Arial" w:cs="Arial"/>
          <w:color w:val="FF0000"/>
          <w:spacing w:val="-2"/>
        </w:rPr>
      </w:pPr>
    </w:p>
    <w:p w14:paraId="3F394BB6" w14:textId="77777777" w:rsidR="006111A1" w:rsidRDefault="006111A1" w:rsidP="00135365">
      <w:pPr>
        <w:pStyle w:val="Corpodetexto"/>
        <w:ind w:left="141"/>
        <w:rPr>
          <w:rFonts w:ascii="Arial" w:hAnsi="Arial" w:cs="Arial"/>
          <w:color w:val="FF0000"/>
          <w:spacing w:val="-2"/>
        </w:rPr>
      </w:pPr>
    </w:p>
    <w:p w14:paraId="53074B2F" w14:textId="77777777" w:rsidR="006111A1" w:rsidRDefault="006111A1" w:rsidP="00135365">
      <w:pPr>
        <w:pStyle w:val="Corpodetexto"/>
        <w:ind w:left="141"/>
        <w:rPr>
          <w:rFonts w:ascii="Arial" w:hAnsi="Arial" w:cs="Arial"/>
          <w:color w:val="FF0000"/>
          <w:spacing w:val="-2"/>
        </w:rPr>
      </w:pPr>
    </w:p>
    <w:p w14:paraId="2673BF2C" w14:textId="2AAA86D6" w:rsidR="006111A1" w:rsidRPr="00403306" w:rsidRDefault="006111A1" w:rsidP="00135365">
      <w:pPr>
        <w:pStyle w:val="Corpodetexto"/>
        <w:ind w:left="141"/>
        <w:rPr>
          <w:rFonts w:ascii="Arial" w:hAnsi="Arial" w:cs="Arial"/>
        </w:rPr>
        <w:sectPr w:rsidR="006111A1" w:rsidRPr="00403306" w:rsidSect="008D03B3">
          <w:pgSz w:w="11910" w:h="16840" w:code="9"/>
          <w:pgMar w:top="1701" w:right="1134" w:bottom="1134" w:left="1701" w:header="720" w:footer="720" w:gutter="0"/>
          <w:cols w:space="720"/>
          <w:docGrid w:linePitch="299"/>
        </w:sectPr>
      </w:pPr>
    </w:p>
    <w:p w14:paraId="193FEC7F" w14:textId="6892BC42" w:rsidR="00135365" w:rsidRPr="008F15A8" w:rsidRDefault="00135365" w:rsidP="00C13152">
      <w:pPr>
        <w:pStyle w:val="Ttulo2"/>
        <w:tabs>
          <w:tab w:val="right" w:leader="dot" w:pos="9041"/>
        </w:tabs>
        <w:spacing w:line="360" w:lineRule="auto"/>
        <w:ind w:left="0"/>
        <w:jc w:val="left"/>
        <w:rPr>
          <w:spacing w:val="-2"/>
        </w:rPr>
      </w:pPr>
      <w:bookmarkStart w:id="3" w:name="_Toc210894956"/>
      <w:r w:rsidRPr="008F15A8">
        <w:rPr>
          <w:spacing w:val="-2"/>
        </w:rPr>
        <w:lastRenderedPageBreak/>
        <w:t>Introdução</w:t>
      </w:r>
      <w:bookmarkEnd w:id="3"/>
    </w:p>
    <w:p w14:paraId="6E465479" w14:textId="77777777" w:rsidR="006C3EEF" w:rsidRPr="008F15A8" w:rsidRDefault="006C3EEF" w:rsidP="008F15A8">
      <w:pPr>
        <w:pStyle w:val="12"/>
      </w:pPr>
    </w:p>
    <w:p w14:paraId="2392C721" w14:textId="77777777" w:rsidR="00E37B73" w:rsidRPr="008F15A8" w:rsidRDefault="00E37B73" w:rsidP="008F15A8">
      <w:pPr>
        <w:pStyle w:val="12"/>
        <w:rPr>
          <w:rFonts w:eastAsia="Times New Roman"/>
          <w:b/>
          <w:lang w:val="pt-BR" w:eastAsia="pt-BR"/>
        </w:rPr>
      </w:pPr>
      <w:bookmarkStart w:id="4" w:name="_Toc210894957"/>
      <w:r w:rsidRPr="008F15A8">
        <w:rPr>
          <w:rFonts w:eastAsia="Times New Roman"/>
          <w:lang w:val="pt-BR" w:eastAsia="pt-BR"/>
        </w:rPr>
        <w:t>A saúde mental dos professores tornou-se um tema de grande relevância no cenário educacional contemporâneo, pois o exercício da docência envolve não apenas a transmissão de conteúdos, mas também a gestão de múltiplas demandas emocionais, cognitivas e sociais. A sobrecarga de trabalho, a pressão por resultados e a desvalorização da profissão são fatores que contribuem para o desenvolvimento de estresse, ansiedade e síndrome de burnout, comprometendo tanto o bem-estar do docente quanto a qualidade do ensino ofertado aos alunos.</w:t>
      </w:r>
      <w:bookmarkEnd w:id="4"/>
    </w:p>
    <w:p w14:paraId="50EE091D" w14:textId="77777777" w:rsidR="00E37B73" w:rsidRPr="008F15A8" w:rsidRDefault="00E37B73" w:rsidP="008F15A8">
      <w:pPr>
        <w:pStyle w:val="12"/>
        <w:rPr>
          <w:rFonts w:eastAsia="Times New Roman"/>
          <w:b/>
          <w:lang w:val="pt-BR" w:eastAsia="pt-BR"/>
        </w:rPr>
      </w:pPr>
      <w:bookmarkStart w:id="5" w:name="_Toc210894958"/>
      <w:r w:rsidRPr="008F15A8">
        <w:rPr>
          <w:rFonts w:eastAsia="Times New Roman"/>
          <w:lang w:val="pt-BR" w:eastAsia="pt-BR"/>
        </w:rPr>
        <w:t>A justificativa para a investigação dessa temática reside na necessidade de compreender como as condições de trabalho e o contexto institucional afetam diretamente a saúde mental dos professores. Ao considerar que esse adoecimento psíquico repercute na sala de aula e na formação dos estudantes, estudar o tema significa não apenas olhar para a saúde individual do docente, mas também para o fortalecimento de todo o processo educativo. Assim, políticas públicas, estratégias institucionais e apoio psicossocial tornam-se fundamentais.</w:t>
      </w:r>
      <w:bookmarkEnd w:id="5"/>
    </w:p>
    <w:p w14:paraId="56E08C5A" w14:textId="77777777" w:rsidR="00E37B73" w:rsidRPr="008F15A8" w:rsidRDefault="00E37B73" w:rsidP="008F15A8">
      <w:pPr>
        <w:pStyle w:val="12"/>
        <w:rPr>
          <w:rFonts w:eastAsia="Times New Roman"/>
          <w:b/>
          <w:lang w:val="pt-BR" w:eastAsia="pt-BR"/>
        </w:rPr>
      </w:pPr>
      <w:bookmarkStart w:id="6" w:name="_Toc210894959"/>
      <w:r w:rsidRPr="008F15A8">
        <w:rPr>
          <w:rFonts w:eastAsia="Times New Roman"/>
          <w:lang w:val="pt-BR" w:eastAsia="pt-BR"/>
        </w:rPr>
        <w:t>O objetivo geral deste estudo é analisar os fatores que afetam a saúde mental dos professores, com foco nos desafios enfrentados no ambiente escolar e nos impactos que esses desafios trazem para a prática pedagógica. Entre os objetivos específicos destacam-se: identificar os principais estressores vivenciados na carreira docente, mapear sintomas de adoecimento psíquico mais recorrentes, relacionar as condições de trabalho com o bem-estar e propor estratégias de enfrentamento que possam auxiliar na promoção de um ambiente saudável.</w:t>
      </w:r>
      <w:bookmarkEnd w:id="6"/>
    </w:p>
    <w:p w14:paraId="7F754B55" w14:textId="77777777" w:rsidR="00E37B73" w:rsidRPr="008F15A8" w:rsidRDefault="00E37B73" w:rsidP="008F15A8">
      <w:pPr>
        <w:pStyle w:val="12"/>
        <w:rPr>
          <w:rFonts w:eastAsia="Times New Roman"/>
          <w:b/>
          <w:lang w:val="pt-BR" w:eastAsia="pt-BR"/>
        </w:rPr>
      </w:pPr>
      <w:bookmarkStart w:id="7" w:name="_Toc210894960"/>
      <w:r w:rsidRPr="008F15A8">
        <w:rPr>
          <w:rFonts w:eastAsia="Times New Roman"/>
          <w:lang w:val="pt-BR" w:eastAsia="pt-BR"/>
        </w:rPr>
        <w:t>A pesquisa também busca compreender como a saúde mental interfere na prática pedagógica e na permanência dos profissionais na carreira. Muitos docentes abandonam a profissão devido à sobrecarga emocional, salários desmotivadores e ausência de apoio institucional. Nesse sentido, discutir saúde mental é também discutir evasão docente, qualidade da educação e valorização profissional. Os objetivos específicos permitem uma análise detalhada desse quadro, propondo medidas que possam reduzir o impacto negativo do adoecimento psicológico.</w:t>
      </w:r>
      <w:bookmarkEnd w:id="7"/>
    </w:p>
    <w:p w14:paraId="51D7F8A2" w14:textId="77777777" w:rsidR="00E37B73" w:rsidRPr="008F15A8" w:rsidRDefault="00E37B73" w:rsidP="008F15A8">
      <w:pPr>
        <w:pStyle w:val="12"/>
        <w:rPr>
          <w:rFonts w:eastAsia="Times New Roman"/>
          <w:b/>
          <w:lang w:val="pt-BR" w:eastAsia="pt-BR"/>
        </w:rPr>
      </w:pPr>
      <w:bookmarkStart w:id="8" w:name="_Toc210894961"/>
      <w:r w:rsidRPr="008F15A8">
        <w:rPr>
          <w:rFonts w:eastAsia="Times New Roman"/>
          <w:lang w:val="pt-BR" w:eastAsia="pt-BR"/>
        </w:rPr>
        <w:t xml:space="preserve">A pergunta de pesquisa que orienta o estudo é: quais são os fatores que mais influenciam a saúde mental dos professores e de que forma estratégias de prevenção e promoção podem contribuir para seu bem-estar? A partir dela, espera-se obter um diagnóstico amplo da realidade docente, analisando tanto os efeitos da precarização </w:t>
      </w:r>
      <w:r w:rsidRPr="008F15A8">
        <w:rPr>
          <w:rFonts w:eastAsia="Times New Roman"/>
          <w:lang w:val="pt-BR" w:eastAsia="pt-BR"/>
        </w:rPr>
        <w:lastRenderedPageBreak/>
        <w:t>do trabalho quanto as transformações recentes, como as exigências impostas pela pandemia de COVID-19, que ampliaram o desgaste psicológico e aumentaram os índices de estresse e ansiedade entre os profissionais.</w:t>
      </w:r>
      <w:bookmarkEnd w:id="8"/>
    </w:p>
    <w:p w14:paraId="656A4953" w14:textId="77777777" w:rsidR="00E37B73" w:rsidRPr="008F15A8" w:rsidRDefault="00E37B73" w:rsidP="008F15A8">
      <w:pPr>
        <w:pStyle w:val="12"/>
        <w:rPr>
          <w:rFonts w:eastAsia="Times New Roman"/>
          <w:b/>
          <w:lang w:val="pt-BR" w:eastAsia="pt-BR"/>
        </w:rPr>
      </w:pPr>
      <w:bookmarkStart w:id="9" w:name="_Toc210894962"/>
      <w:r w:rsidRPr="008F15A8">
        <w:rPr>
          <w:rFonts w:eastAsia="Times New Roman"/>
          <w:lang w:val="pt-BR" w:eastAsia="pt-BR"/>
        </w:rPr>
        <w:t>Assim, este estudo busca não apenas responder à problemática levantada, mas também contribuir para a construção de práticas e políticas mais eficazes. Reconhecer a saúde mental como parte central da valorização docente é passo essencial para garantir melhores condições de trabalho, prevenir adoecimento e assegurar qualidade no ensino. Além disso, abre-se espaço para futuros trabalhos que investiguem comparativamente estratégias de cuidado utilizadas em diferentes contextos educacionais, fortalecendo a construção de um ambiente escolar saudável e humanizado.</w:t>
      </w:r>
      <w:bookmarkEnd w:id="9"/>
    </w:p>
    <w:p w14:paraId="5A6D6651" w14:textId="77777777" w:rsidR="00135365" w:rsidRPr="008F15A8" w:rsidRDefault="00135365" w:rsidP="008F15A8">
      <w:pPr>
        <w:pStyle w:val="12"/>
        <w:rPr>
          <w:spacing w:val="-2"/>
          <w:lang w:val="pt-BR"/>
        </w:rPr>
      </w:pPr>
    </w:p>
    <w:p w14:paraId="7F4929A3" w14:textId="77777777" w:rsidR="00135365" w:rsidRPr="008F15A8" w:rsidRDefault="00135365" w:rsidP="008F15A8">
      <w:pPr>
        <w:spacing w:line="360" w:lineRule="auto"/>
        <w:rPr>
          <w:rFonts w:ascii="Arial" w:eastAsia="Arial" w:hAnsi="Arial" w:cs="Arial"/>
          <w:b/>
          <w:bCs/>
          <w:spacing w:val="-2"/>
          <w:sz w:val="24"/>
          <w:szCs w:val="24"/>
        </w:rPr>
      </w:pPr>
      <w:r w:rsidRPr="008F15A8">
        <w:rPr>
          <w:rFonts w:ascii="Arial" w:hAnsi="Arial" w:cs="Arial"/>
          <w:spacing w:val="-2"/>
          <w:sz w:val="24"/>
          <w:szCs w:val="24"/>
        </w:rPr>
        <w:br w:type="page"/>
      </w:r>
    </w:p>
    <w:p w14:paraId="325A2E76" w14:textId="5D5D0868" w:rsidR="00135365" w:rsidRPr="008F15A8" w:rsidRDefault="00C13152" w:rsidP="00C13152">
      <w:pPr>
        <w:pStyle w:val="Ttulo2"/>
        <w:tabs>
          <w:tab w:val="left" w:pos="200"/>
          <w:tab w:val="right" w:leader="dot" w:pos="9073"/>
        </w:tabs>
        <w:spacing w:line="360" w:lineRule="auto"/>
        <w:ind w:left="0"/>
        <w:jc w:val="left"/>
        <w:rPr>
          <w:b w:val="0"/>
        </w:rPr>
      </w:pPr>
      <w:bookmarkStart w:id="10" w:name="_Toc210894963"/>
      <w:r>
        <w:rPr>
          <w:spacing w:val="-2"/>
        </w:rPr>
        <w:lastRenderedPageBreak/>
        <w:t xml:space="preserve">1. </w:t>
      </w:r>
      <w:r w:rsidR="00135365" w:rsidRPr="008F15A8">
        <w:rPr>
          <w:spacing w:val="-2"/>
        </w:rPr>
        <w:t>Metodologia</w:t>
      </w:r>
      <w:bookmarkEnd w:id="10"/>
    </w:p>
    <w:p w14:paraId="51940B80" w14:textId="77777777" w:rsidR="006C3EEF" w:rsidRPr="008F15A8" w:rsidRDefault="006C3EEF" w:rsidP="008F15A8">
      <w:pPr>
        <w:pStyle w:val="12"/>
      </w:pPr>
    </w:p>
    <w:p w14:paraId="07531A96" w14:textId="1732537B" w:rsidR="008F15A8" w:rsidRDefault="008F15A8" w:rsidP="008F15A8">
      <w:pPr>
        <w:pStyle w:val="12"/>
      </w:pPr>
      <w:r w:rsidRPr="008F15A8">
        <w:t xml:space="preserve">O presente estudo adota como objeto de investigação a saúde mental dos professores, com foco nos fatores que contribuem para o adoecimento psíquico e nas estratégias de enfrentamento </w:t>
      </w:r>
      <w:r w:rsidRPr="00C84713">
        <w:t xml:space="preserve">relatadas na literatura científica, com base em autores como Pressley </w:t>
      </w:r>
      <w:r w:rsidR="00C13152" w:rsidRPr="00C84713">
        <w:rPr>
          <w:i/>
        </w:rPr>
        <w:t>et al</w:t>
      </w:r>
      <w:r w:rsidRPr="00C84713">
        <w:t xml:space="preserve">. (2024), Koudela-Hamila </w:t>
      </w:r>
      <w:r w:rsidR="00C13152" w:rsidRPr="00C84713">
        <w:rPr>
          <w:i/>
        </w:rPr>
        <w:t>et al</w:t>
      </w:r>
      <w:r w:rsidRPr="00C84713">
        <w:t>. (2022) e Magalhães, Andrade e Wittizorecki (2024), que discutem a sobrecarga laboral e o impacto das condições institucionais sobre o bem-estar docente. Trata</w:t>
      </w:r>
      <w:r w:rsidRPr="008F15A8">
        <w:t xml:space="preserve">-se de uma pesquisa qualitativa do tipo revisão bibliográfica, fundamentada na análise de artigos científicos, livros, dissertações e teses que abordam o tema em diferentes contextos educacionais. O objetivo da metodologia é reunir, sistematizar e discutir produções acadêmicas já existentes, permitindo uma visão ampla e crítica da temática. </w:t>
      </w:r>
    </w:p>
    <w:p w14:paraId="38E42901" w14:textId="59A418AA" w:rsidR="00E37B73" w:rsidRPr="008F15A8" w:rsidRDefault="00E37B73" w:rsidP="008F15A8">
      <w:pPr>
        <w:pStyle w:val="12"/>
      </w:pPr>
      <w:r w:rsidRPr="008F15A8">
        <w:t>A estratégia utilizada foi o levantamento bibliográfico em bases de dados científicas, como SciELO, LILACS, PubMed e Google Acadêmico, além de consulta a legislações e documentos institucionais que abordam a valorização docente. A busca foi orientada por descritores como: “saúde mental”, “professores”, “adoecimento psíquico”, “burnout docente” e “bem-estar docente”, combinados por operadores booleanos (AND, OR) para ampliar ou refinar os resultados.</w:t>
      </w:r>
    </w:p>
    <w:p w14:paraId="2405D0D3" w14:textId="77777777" w:rsidR="00E37B73" w:rsidRPr="008F15A8" w:rsidRDefault="00E37B73" w:rsidP="008F15A8">
      <w:pPr>
        <w:pStyle w:val="12"/>
      </w:pPr>
      <w:r w:rsidRPr="008F15A8">
        <w:t>No que se refere à população e amostra, a revisão considerou produções científicas publicadas nos últimos dez anos, em português e inglês, que tratassem diretamente da saúde mental dos professores. Foram excluídos materiais que não possuíam relação direta com a docência ou que abordassem saúde mental em outros grupos profissionais sem ligação com a educação.</w:t>
      </w:r>
    </w:p>
    <w:p w14:paraId="0E28F0BE" w14:textId="77777777" w:rsidR="00E37B73" w:rsidRPr="008F15A8" w:rsidRDefault="00E37B73" w:rsidP="008F15A8">
      <w:pPr>
        <w:pStyle w:val="12"/>
      </w:pPr>
      <w:r w:rsidRPr="008F15A8">
        <w:t>O instrumento de coleta de dados foi a leitura exploratória e seletiva dos textos encontrados, com posterior registro em fichamentos e planilhas de análise. As variáveis de interesse foram definidas como: fatores de risco para a saúde mental, consequências do adoecimento docente, estratégias de prevenção e políticas públicas de apoio.</w:t>
      </w:r>
    </w:p>
    <w:p w14:paraId="17585D08" w14:textId="597AF624" w:rsidR="00E37B73" w:rsidRDefault="00E80821" w:rsidP="008F15A8">
      <w:pPr>
        <w:pStyle w:val="12"/>
      </w:pPr>
      <w:r w:rsidRPr="00E80821">
        <w:t xml:space="preserve">O processamento de dados ocorreu por meio de </w:t>
      </w:r>
      <w:r w:rsidRPr="00C84713">
        <w:t>análise de conteúdo</w:t>
      </w:r>
      <w:r w:rsidRPr="00E80821">
        <w:t xml:space="preserve">, conforme proposta metodológica de </w:t>
      </w:r>
      <w:r w:rsidRPr="00C84713">
        <w:t>Bardin (2016), a</w:t>
      </w:r>
      <w:r w:rsidRPr="00E80821">
        <w:t xml:space="preserve"> qual permite identificar categorias e unidades de significado a partir do material coletado. Essa técnica possibilitou uma análise crítica e comparativa fundamentada na interpretação sistemática dos dados textuais, considerando os referenciais teóricos da área da saúde e da educação. A partir desse processo, foi possível identificar convergências, divergências e lacunas </w:t>
      </w:r>
      <w:r w:rsidRPr="00E80821">
        <w:lastRenderedPageBreak/>
        <w:t>nos estudos analisados.</w:t>
      </w:r>
    </w:p>
    <w:p w14:paraId="3DB845C1" w14:textId="77777777" w:rsidR="00E80821" w:rsidRPr="00E80821" w:rsidRDefault="00E80821" w:rsidP="00E80821">
      <w:pPr>
        <w:pStyle w:val="12"/>
      </w:pPr>
    </w:p>
    <w:p w14:paraId="7E221E76" w14:textId="77777777" w:rsidR="00E37B73" w:rsidRPr="008F15A8" w:rsidRDefault="00E37B73" w:rsidP="00C13152">
      <w:pPr>
        <w:pStyle w:val="Ttulo2"/>
        <w:spacing w:line="360" w:lineRule="auto"/>
        <w:ind w:left="0"/>
        <w:jc w:val="left"/>
      </w:pPr>
      <w:bookmarkStart w:id="11" w:name="_Toc210894964"/>
      <w:r w:rsidRPr="008F15A8">
        <w:t>1.1 Levantamento bibliográfico</w:t>
      </w:r>
      <w:bookmarkEnd w:id="11"/>
    </w:p>
    <w:p w14:paraId="7D5221E1" w14:textId="77777777" w:rsidR="00F34B38" w:rsidRPr="008F15A8" w:rsidRDefault="00F34B38" w:rsidP="00E80821">
      <w:pPr>
        <w:pStyle w:val="12"/>
      </w:pPr>
    </w:p>
    <w:p w14:paraId="7DF785C8" w14:textId="77777777" w:rsidR="00E37B73" w:rsidRPr="008F15A8" w:rsidRDefault="00E37B73" w:rsidP="00E80821">
      <w:pPr>
        <w:pStyle w:val="12"/>
        <w:rPr>
          <w:bCs/>
        </w:rPr>
      </w:pPr>
      <w:r w:rsidRPr="008F15A8">
        <w:rPr>
          <w:bCs/>
        </w:rPr>
        <w:t>O levantamento foi realizado em bases nacionais e internacionais, utilizando descritores padronizados, leitura de títulos e resumos, seguida da seleção dos artigos mais relevantes. Também foram incluídas referências encontradas nas listas bibliográficas dos textos selecionados, a fim de ampliar o corpus da revisão.</w:t>
      </w:r>
    </w:p>
    <w:p w14:paraId="74786735" w14:textId="77777777" w:rsidR="00E37B73" w:rsidRPr="008F15A8" w:rsidRDefault="00E37B73" w:rsidP="00E80821">
      <w:pPr>
        <w:pStyle w:val="12"/>
        <w:rPr>
          <w:bCs/>
        </w:rPr>
      </w:pPr>
    </w:p>
    <w:p w14:paraId="1BD43FAC" w14:textId="77777777" w:rsidR="00E37B73" w:rsidRPr="008F15A8" w:rsidRDefault="00E37B73" w:rsidP="00C13152">
      <w:pPr>
        <w:pStyle w:val="Ttulo2"/>
        <w:spacing w:line="360" w:lineRule="auto"/>
        <w:ind w:left="0"/>
        <w:jc w:val="left"/>
      </w:pPr>
      <w:bookmarkStart w:id="12" w:name="_Toc210894965"/>
      <w:r w:rsidRPr="008F15A8">
        <w:t>1.2 Coleta de dados</w:t>
      </w:r>
      <w:bookmarkEnd w:id="12"/>
    </w:p>
    <w:p w14:paraId="110148FC" w14:textId="77777777" w:rsidR="00F34B38" w:rsidRPr="008F15A8" w:rsidRDefault="00F34B38" w:rsidP="00E80821">
      <w:pPr>
        <w:pStyle w:val="12"/>
      </w:pPr>
    </w:p>
    <w:p w14:paraId="389B6042" w14:textId="77777777" w:rsidR="00E37B73" w:rsidRPr="008F15A8" w:rsidRDefault="00E37B73" w:rsidP="00E80821">
      <w:pPr>
        <w:pStyle w:val="12"/>
        <w:rPr>
          <w:bCs/>
        </w:rPr>
      </w:pPr>
      <w:r w:rsidRPr="008F15A8">
        <w:rPr>
          <w:bCs/>
        </w:rPr>
        <w:t>A coleta consistiu na organização sistemática dos estudos em fichamentos, destacando autores, ano, objetivos, metodologia, resultados e principais conclusões. Esse material foi categorizado em eixos temáticos, permitindo a análise crítica e a construção da discussão apresentada nos resultados.</w:t>
      </w:r>
    </w:p>
    <w:p w14:paraId="018F7D40" w14:textId="77777777" w:rsidR="00E37B73" w:rsidRPr="008F15A8" w:rsidRDefault="00E37B73" w:rsidP="00E80821">
      <w:pPr>
        <w:pStyle w:val="12"/>
        <w:rPr>
          <w:bCs/>
        </w:rPr>
      </w:pPr>
    </w:p>
    <w:p w14:paraId="11AAB869" w14:textId="77777777" w:rsidR="00135365" w:rsidRPr="008F15A8" w:rsidRDefault="00135365" w:rsidP="008F15A8">
      <w:pPr>
        <w:pStyle w:val="NormalWeb"/>
        <w:shd w:val="clear" w:color="auto" w:fill="FFFFFF"/>
        <w:spacing w:before="0" w:beforeAutospacing="0" w:after="0" w:afterAutospacing="0" w:line="360" w:lineRule="auto"/>
        <w:jc w:val="both"/>
        <w:rPr>
          <w:rFonts w:ascii="Arial" w:hAnsi="Arial" w:cs="Arial"/>
          <w:bCs/>
        </w:rPr>
      </w:pPr>
      <w:r w:rsidRPr="008F15A8">
        <w:rPr>
          <w:rFonts w:ascii="Arial" w:hAnsi="Arial" w:cs="Arial"/>
          <w:bCs/>
        </w:rPr>
        <w:br w:type="page"/>
      </w:r>
    </w:p>
    <w:p w14:paraId="20E8BC3E" w14:textId="0A1216E4" w:rsidR="00135365" w:rsidRPr="00E80821" w:rsidRDefault="00E80821" w:rsidP="00C13152">
      <w:pPr>
        <w:pStyle w:val="Ttulo2"/>
        <w:tabs>
          <w:tab w:val="left" w:pos="196"/>
          <w:tab w:val="right" w:leader="dot" w:pos="9073"/>
        </w:tabs>
        <w:spacing w:line="360" w:lineRule="auto"/>
        <w:ind w:left="0"/>
        <w:jc w:val="left"/>
        <w:rPr>
          <w:b w:val="0"/>
        </w:rPr>
      </w:pPr>
      <w:bookmarkStart w:id="13" w:name="_Toc210894966"/>
      <w:r>
        <w:lastRenderedPageBreak/>
        <w:t xml:space="preserve">2. </w:t>
      </w:r>
      <w:r w:rsidR="00135365" w:rsidRPr="008F15A8">
        <w:t>Referencial</w:t>
      </w:r>
      <w:r w:rsidR="00135365" w:rsidRPr="008F15A8">
        <w:rPr>
          <w:spacing w:val="-14"/>
        </w:rPr>
        <w:t xml:space="preserve"> </w:t>
      </w:r>
      <w:r w:rsidR="00135365" w:rsidRPr="008F15A8">
        <w:rPr>
          <w:spacing w:val="-2"/>
        </w:rPr>
        <w:t>teórico</w:t>
      </w:r>
      <w:bookmarkEnd w:id="13"/>
    </w:p>
    <w:p w14:paraId="22B1218D" w14:textId="77777777" w:rsidR="00E80821" w:rsidRPr="008F15A8" w:rsidRDefault="00E80821" w:rsidP="00E80821">
      <w:pPr>
        <w:pStyle w:val="12"/>
      </w:pPr>
    </w:p>
    <w:p w14:paraId="6477BEFA" w14:textId="59D7A635" w:rsidR="00F45082" w:rsidRPr="008F15A8" w:rsidRDefault="00F45082" w:rsidP="00C13152">
      <w:pPr>
        <w:pStyle w:val="Ttulo2"/>
        <w:spacing w:line="360" w:lineRule="auto"/>
        <w:ind w:left="0"/>
        <w:jc w:val="left"/>
        <w:rPr>
          <w:lang w:val="pt-BR" w:eastAsia="pt-BR"/>
        </w:rPr>
      </w:pPr>
      <w:bookmarkStart w:id="14" w:name="_Toc210894967"/>
      <w:r w:rsidRPr="008F15A8">
        <w:rPr>
          <w:lang w:val="pt-BR" w:eastAsia="pt-BR"/>
        </w:rPr>
        <w:t>2.1 Fatores que afetam a saúde mental dos professores</w:t>
      </w:r>
      <w:bookmarkEnd w:id="14"/>
    </w:p>
    <w:p w14:paraId="019D95A0" w14:textId="77777777" w:rsidR="00E80821" w:rsidRDefault="00E80821" w:rsidP="00E80821">
      <w:pPr>
        <w:pStyle w:val="12"/>
        <w:rPr>
          <w:lang w:val="pt-BR" w:eastAsia="pt-BR"/>
        </w:rPr>
      </w:pPr>
    </w:p>
    <w:p w14:paraId="5407CE0A" w14:textId="6232394B" w:rsidR="00F45082" w:rsidRPr="008F15A8" w:rsidRDefault="00F45082" w:rsidP="00E80821">
      <w:pPr>
        <w:pStyle w:val="12"/>
        <w:rPr>
          <w:lang w:val="pt-BR" w:eastAsia="pt-BR"/>
        </w:rPr>
      </w:pPr>
      <w:r w:rsidRPr="008F15A8">
        <w:rPr>
          <w:lang w:val="pt-BR" w:eastAsia="pt-BR"/>
        </w:rPr>
        <w:t>A intensificação do trabalho docente manifesta-se em múltiplas frentes — planejamento, ensino, avaliação, burocracias e mediação de conflitos — gerando sobrecarga contínua e desgaste cumulativo. Evidências mostram que quando a carga de trabalho aumenta sem recursos correspondentes, os níveis de estresse e a reatividade fisiológica se elevam, favorecendo quadros de exaustão (</w:t>
      </w:r>
      <w:r w:rsidR="00E80821" w:rsidRPr="008F15A8">
        <w:rPr>
          <w:lang w:val="pt-BR" w:eastAsia="pt-BR"/>
        </w:rPr>
        <w:t>Koudela</w:t>
      </w:r>
      <w:r w:rsidRPr="008F15A8">
        <w:rPr>
          <w:lang w:val="pt-BR" w:eastAsia="pt-BR"/>
        </w:rPr>
        <w:t>-</w:t>
      </w:r>
      <w:r w:rsidR="00E80821" w:rsidRPr="008F15A8">
        <w:rPr>
          <w:lang w:val="pt-BR" w:eastAsia="pt-BR"/>
        </w:rPr>
        <w:t xml:space="preserve">Hamila </w:t>
      </w:r>
      <w:r w:rsidR="00C13152" w:rsidRPr="00C13152">
        <w:rPr>
          <w:i/>
          <w:lang w:val="pt-BR" w:eastAsia="pt-BR"/>
        </w:rPr>
        <w:t>et al</w:t>
      </w:r>
      <w:r w:rsidRPr="008F15A8">
        <w:rPr>
          <w:lang w:val="pt-BR" w:eastAsia="pt-BR"/>
        </w:rPr>
        <w:t>., 2022). Em contextos escolares, a pressão por resultados e metas institucionais amplia tal tensão. Isso repercute no clima de sala de aula e na qualidade da relação pedagógica. O resultado típico é a redução do bem-estar e da satisfação profissional.</w:t>
      </w:r>
    </w:p>
    <w:p w14:paraId="4A78438D" w14:textId="17ED1C68" w:rsidR="00F45082" w:rsidRPr="008F15A8" w:rsidRDefault="00F45082" w:rsidP="00E80821">
      <w:pPr>
        <w:pStyle w:val="12"/>
        <w:rPr>
          <w:lang w:val="pt-BR" w:eastAsia="pt-BR"/>
        </w:rPr>
      </w:pPr>
      <w:r w:rsidRPr="008F15A8">
        <w:rPr>
          <w:lang w:val="pt-BR" w:eastAsia="pt-BR"/>
        </w:rPr>
        <w:t>Estudos com professores indicam prevalência significativa de burnout associada à carga elevada e à complexidade das tarefas rotineiras (</w:t>
      </w:r>
      <w:r w:rsidR="00E80821" w:rsidRPr="008F15A8">
        <w:rPr>
          <w:lang w:val="pt-BR" w:eastAsia="pt-BR"/>
        </w:rPr>
        <w:t>Giri</w:t>
      </w:r>
      <w:r w:rsidRPr="008F15A8">
        <w:rPr>
          <w:lang w:val="pt-BR" w:eastAsia="pt-BR"/>
        </w:rPr>
        <w:t xml:space="preserve">; </w:t>
      </w:r>
      <w:r w:rsidR="00E80821" w:rsidRPr="008F15A8">
        <w:rPr>
          <w:lang w:val="pt-BR" w:eastAsia="pt-BR"/>
        </w:rPr>
        <w:t>Paria</w:t>
      </w:r>
      <w:r w:rsidRPr="008F15A8">
        <w:rPr>
          <w:lang w:val="pt-BR" w:eastAsia="pt-BR"/>
        </w:rPr>
        <w:t>, 2023). O fenômeno combina exaustão emocional, despersonalização e baixa realização, frequentemente catalisado por turmas numerosas e exigências administrativas. O acúmulo de responsabilidades extraclasse piora a percepção de controle sobre o trabalho. Quando o esforço não é acompanhado de reconhecimento, o ciclo de desgaste acelera. Esse cenário alimenta intenções de abandono e rotatividade na carreira.</w:t>
      </w:r>
    </w:p>
    <w:p w14:paraId="02C463F9" w14:textId="0D9E6C50" w:rsidR="00F45082" w:rsidRPr="008F15A8" w:rsidRDefault="00F45082" w:rsidP="00E80821">
      <w:pPr>
        <w:pStyle w:val="12"/>
        <w:rPr>
          <w:lang w:val="pt-BR" w:eastAsia="pt-BR"/>
        </w:rPr>
      </w:pPr>
      <w:r w:rsidRPr="008F15A8">
        <w:rPr>
          <w:lang w:val="pt-BR" w:eastAsia="pt-BR"/>
        </w:rPr>
        <w:t>A pandemia de COVID-19 intensificou a sobrecarga ao deslocar a docência para formatos híbridos e on-line, multiplicando tarefas e competências exigidas. Pesquisas nacionais e internacionais reportam elevação do estresse ocupacional entre docentes de diferentes níveis de ensino durante o período prolongado de crise sanitária (</w:t>
      </w:r>
      <w:r w:rsidR="00E80821" w:rsidRPr="008F15A8">
        <w:rPr>
          <w:lang w:val="pt-BR" w:eastAsia="pt-BR"/>
        </w:rPr>
        <w:t>Tsubono</w:t>
      </w:r>
      <w:r w:rsidRPr="008F15A8">
        <w:rPr>
          <w:lang w:val="pt-BR" w:eastAsia="pt-BR"/>
        </w:rPr>
        <w:t xml:space="preserve">; </w:t>
      </w:r>
      <w:r w:rsidR="00E80821" w:rsidRPr="008F15A8">
        <w:rPr>
          <w:lang w:val="pt-BR" w:eastAsia="pt-BR"/>
        </w:rPr>
        <w:t>Mitoku</w:t>
      </w:r>
      <w:r w:rsidRPr="008F15A8">
        <w:rPr>
          <w:lang w:val="pt-BR" w:eastAsia="pt-BR"/>
        </w:rPr>
        <w:t>, 2023). A necessidade de reconfigurar aulas, aprender plataformas digitais e sustentar engajamento remoto expandiu a jornada invisível. Esse “trabalho expandido” incluiu suporte socioemocional a estudantes fragilizados. A soma desses vetores afetou diretamente a saúde mental.</w:t>
      </w:r>
    </w:p>
    <w:p w14:paraId="433C0293" w14:textId="3DBDC299" w:rsidR="00F45082" w:rsidRPr="008F15A8" w:rsidRDefault="00F45082" w:rsidP="00E80821">
      <w:pPr>
        <w:pStyle w:val="12"/>
        <w:rPr>
          <w:lang w:val="pt-BR" w:eastAsia="pt-BR"/>
        </w:rPr>
      </w:pPr>
      <w:r w:rsidRPr="008F15A8">
        <w:rPr>
          <w:lang w:val="pt-BR" w:eastAsia="pt-BR"/>
        </w:rPr>
        <w:t>No eixo tecnológico, o chamado “tecnoestresse” descreve a tensão derivada do uso intensivo de tecnologias digitais sob prazos curtos e alta vigilância de desempenho. Entre docentes, essa pressão se traduziu em fadiga digital, hiperconectividade e conflito trabalho-vida (</w:t>
      </w:r>
      <w:r w:rsidR="00E80821" w:rsidRPr="008F15A8">
        <w:rPr>
          <w:lang w:val="pt-BR" w:eastAsia="pt-BR"/>
        </w:rPr>
        <w:t xml:space="preserve">Zheng </w:t>
      </w:r>
      <w:r w:rsidR="00C13152" w:rsidRPr="00C13152">
        <w:rPr>
          <w:i/>
          <w:lang w:val="pt-BR" w:eastAsia="pt-BR"/>
        </w:rPr>
        <w:t>et al</w:t>
      </w:r>
      <w:r w:rsidRPr="008F15A8">
        <w:rPr>
          <w:lang w:val="pt-BR" w:eastAsia="pt-BR"/>
        </w:rPr>
        <w:t>., 2022). A adoção rápida de ferramentas sem formação adequada aumentou a carga cognitiva. A conectividade fora do horário regular prolongou a jornada. O sentimento de nunca “desligar” tornou-</w:t>
      </w:r>
      <w:r w:rsidRPr="008F15A8">
        <w:rPr>
          <w:lang w:val="pt-BR" w:eastAsia="pt-BR"/>
        </w:rPr>
        <w:lastRenderedPageBreak/>
        <w:t>se um marcador de risco psicossocial.</w:t>
      </w:r>
    </w:p>
    <w:p w14:paraId="703BA74E" w14:textId="51E46506" w:rsidR="00F45082" w:rsidRPr="008F15A8" w:rsidRDefault="00F45082" w:rsidP="00E80821">
      <w:pPr>
        <w:pStyle w:val="12"/>
        <w:rPr>
          <w:lang w:val="pt-BR" w:eastAsia="pt-BR"/>
        </w:rPr>
      </w:pPr>
      <w:r w:rsidRPr="008F15A8">
        <w:rPr>
          <w:lang w:val="pt-BR" w:eastAsia="pt-BR"/>
        </w:rPr>
        <w:t>A literatura também mapeia perfis de bem-estar docente e fatores protetivos, mostrando que apoio institucional e desenho de trabalho equilibrado fazem diferença (</w:t>
      </w:r>
      <w:r w:rsidR="00E80821" w:rsidRPr="008F15A8">
        <w:rPr>
          <w:lang w:val="pt-BR" w:eastAsia="pt-BR"/>
        </w:rPr>
        <w:t xml:space="preserve">Laitinen, </w:t>
      </w:r>
      <w:r w:rsidRPr="008F15A8">
        <w:rPr>
          <w:lang w:val="pt-BR" w:eastAsia="pt-BR"/>
        </w:rPr>
        <w:t>2022). Onde há espaços para autonomia pedagógica e colaboração, a sobrecarga é amortecida. Inversamente, contextos com vigilância rígida e metas inalcançáveis ampliam a tensão. Programas escolares que integram cuidados com estudantes e professores tendem a reduzir o desgaste. O foco no clima organizacional é, portanto, estratégico.</w:t>
      </w:r>
    </w:p>
    <w:p w14:paraId="3B8E4D61" w14:textId="176D5771" w:rsidR="00F45082" w:rsidRPr="008F15A8" w:rsidRDefault="00F45082" w:rsidP="00E80821">
      <w:pPr>
        <w:pStyle w:val="12"/>
        <w:rPr>
          <w:lang w:val="pt-BR" w:eastAsia="pt-BR"/>
        </w:rPr>
      </w:pPr>
      <w:r w:rsidRPr="008F15A8">
        <w:rPr>
          <w:lang w:val="pt-BR" w:eastAsia="pt-BR"/>
        </w:rPr>
        <w:t>Além das condições de tarefa, variáveis organizacionais modulam a relação entre carga e sofrimento. A evidência aponta que acesso a serviços de saúde mental e suporte da gestão atenuam o burnout, mesmo sob demandas altas (</w:t>
      </w:r>
      <w:r w:rsidR="00E80821" w:rsidRPr="008F15A8">
        <w:rPr>
          <w:lang w:val="pt-BR" w:eastAsia="pt-BR"/>
        </w:rPr>
        <w:t xml:space="preserve">Pressley </w:t>
      </w:r>
      <w:r w:rsidR="00C13152" w:rsidRPr="00C13152">
        <w:rPr>
          <w:i/>
          <w:lang w:val="pt-BR" w:eastAsia="pt-BR"/>
        </w:rPr>
        <w:t>et al</w:t>
      </w:r>
      <w:r w:rsidRPr="008F15A8">
        <w:rPr>
          <w:lang w:val="pt-BR" w:eastAsia="pt-BR"/>
        </w:rPr>
        <w:t>., 2024). Em paralelo, satisfação no trabalho atua como trava de proteção, reforçando sentido e pertencimento (</w:t>
      </w:r>
      <w:r w:rsidR="00E80821" w:rsidRPr="008F15A8">
        <w:rPr>
          <w:lang w:val="pt-BR" w:eastAsia="pt-BR"/>
        </w:rPr>
        <w:t>Singh</w:t>
      </w:r>
      <w:r w:rsidRPr="008F15A8">
        <w:rPr>
          <w:lang w:val="pt-BR" w:eastAsia="pt-BR"/>
        </w:rPr>
        <w:t xml:space="preserve">; </w:t>
      </w:r>
      <w:r w:rsidR="00E80821" w:rsidRPr="008F15A8">
        <w:rPr>
          <w:lang w:val="pt-BR" w:eastAsia="pt-BR"/>
        </w:rPr>
        <w:t>Gautam</w:t>
      </w:r>
      <w:r w:rsidRPr="008F15A8">
        <w:rPr>
          <w:lang w:val="pt-BR" w:eastAsia="pt-BR"/>
        </w:rPr>
        <w:t>, 2024). Onde há equilíbrio trabalho-vida e políticas sensíveis às necessidades do corpo docente, a sobrecarga deixa de ser crônica. Isso exige intencionalidade institucional.</w:t>
      </w:r>
    </w:p>
    <w:p w14:paraId="5D3B4765" w14:textId="33E3466E" w:rsidR="00F45082" w:rsidRPr="008F15A8" w:rsidRDefault="00F45082" w:rsidP="00E80821">
      <w:pPr>
        <w:pStyle w:val="12"/>
        <w:rPr>
          <w:lang w:val="pt-BR" w:eastAsia="pt-BR"/>
        </w:rPr>
      </w:pPr>
      <w:r w:rsidRPr="008F15A8">
        <w:rPr>
          <w:lang w:val="pt-BR" w:eastAsia="pt-BR"/>
        </w:rPr>
        <w:t>A prevenção do esgotamento envolve intervenções pedagógico-organizacionais e práticas individuais. Protocolos de prevenção ao burnout com foco em manejo de demandas, clarificação de papéis e suporte entre pares mostram bons resultados (</w:t>
      </w:r>
      <w:r w:rsidR="00E80821" w:rsidRPr="008F15A8">
        <w:rPr>
          <w:lang w:val="pt-BR" w:eastAsia="pt-BR"/>
        </w:rPr>
        <w:t>Dolgopolova</w:t>
      </w:r>
      <w:r w:rsidRPr="008F15A8">
        <w:rPr>
          <w:lang w:val="pt-BR" w:eastAsia="pt-BR"/>
        </w:rPr>
        <w:t xml:space="preserve">; </w:t>
      </w:r>
      <w:r w:rsidR="00E80821" w:rsidRPr="008F15A8">
        <w:rPr>
          <w:lang w:val="pt-BR" w:eastAsia="pt-BR"/>
        </w:rPr>
        <w:t>Manukhina</w:t>
      </w:r>
      <w:r w:rsidRPr="008F15A8">
        <w:rPr>
          <w:lang w:val="pt-BR" w:eastAsia="pt-BR"/>
        </w:rPr>
        <w:t>, 2020). Diretrizes internacionais destacam o papel de políticas escolares na promoção do bem-estar de estudantes e professores, particularmente em sistemas pressionados por mudanças rápidas (</w:t>
      </w:r>
      <w:r w:rsidR="00E80821" w:rsidRPr="008F15A8">
        <w:rPr>
          <w:lang w:val="pt-BR" w:eastAsia="pt-BR"/>
        </w:rPr>
        <w:t>Kameda</w:t>
      </w:r>
      <w:r w:rsidRPr="008F15A8">
        <w:rPr>
          <w:lang w:val="pt-BR" w:eastAsia="pt-BR"/>
        </w:rPr>
        <w:t>, 2025). Equilíbrio entre metas e meios, formação continuada e limites claros de jornada são pilares. Sem esses ajustes, o risco psicossocial permanece elevado.</w:t>
      </w:r>
    </w:p>
    <w:p w14:paraId="4BA489FE" w14:textId="45E3F839" w:rsidR="007A545C" w:rsidRPr="008F15A8" w:rsidRDefault="007A545C" w:rsidP="00E80821">
      <w:pPr>
        <w:pStyle w:val="12"/>
        <w:rPr>
          <w:lang w:val="pt-BR" w:eastAsia="pt-BR"/>
        </w:rPr>
      </w:pPr>
      <w:r w:rsidRPr="008F15A8">
        <w:rPr>
          <w:lang w:val="pt-BR" w:eastAsia="pt-BR"/>
        </w:rPr>
        <w:t>A pressão por resultados é uma das variáveis mais críticas no adoecimento docente. Em muitos contextos, os professores são cobrados por desempenho de alunos em avaliações padronizadas, ao mesmo tempo em que enfrentam estruturas de apoio insuficientes. Pesquisas revelam que esse tipo de pressão intensifica os níveis de estresse ocupacional, prejudicando a qualidade de vida do profissional e o clima escolar (</w:t>
      </w:r>
      <w:r w:rsidR="00E80821" w:rsidRPr="008F15A8">
        <w:rPr>
          <w:lang w:val="pt-BR" w:eastAsia="pt-BR"/>
        </w:rPr>
        <w:t>Giri</w:t>
      </w:r>
      <w:r w:rsidRPr="008F15A8">
        <w:rPr>
          <w:lang w:val="pt-BR" w:eastAsia="pt-BR"/>
        </w:rPr>
        <w:t xml:space="preserve">; </w:t>
      </w:r>
      <w:r w:rsidR="00E80821" w:rsidRPr="008F15A8">
        <w:rPr>
          <w:lang w:val="pt-BR" w:eastAsia="pt-BR"/>
        </w:rPr>
        <w:t>Paria</w:t>
      </w:r>
      <w:r w:rsidRPr="008F15A8">
        <w:rPr>
          <w:lang w:val="pt-BR" w:eastAsia="pt-BR"/>
        </w:rPr>
        <w:t>, 2023). Essa lógica baseada em produtividade transforma o processo educativo em um ambiente de metas, muitas vezes descolado das reais condições pedagógicas.</w:t>
      </w:r>
    </w:p>
    <w:p w14:paraId="024EB3D6" w14:textId="6F1995EC" w:rsidR="007A545C" w:rsidRPr="008F15A8" w:rsidRDefault="007A545C" w:rsidP="00E80821">
      <w:pPr>
        <w:pStyle w:val="12"/>
        <w:rPr>
          <w:lang w:val="pt-BR" w:eastAsia="pt-BR"/>
        </w:rPr>
      </w:pPr>
      <w:r w:rsidRPr="008F15A8">
        <w:rPr>
          <w:lang w:val="pt-BR" w:eastAsia="pt-BR"/>
        </w:rPr>
        <w:t xml:space="preserve">A intensificação das exigências institucionais também se reflete no aumento da carga burocrática, como preenchimento de relatórios, cumprimento de protocolos e participação em programas de avaliação externa. Esse excesso de demandas </w:t>
      </w:r>
      <w:r w:rsidRPr="008F15A8">
        <w:rPr>
          <w:lang w:val="pt-BR" w:eastAsia="pt-BR"/>
        </w:rPr>
        <w:lastRenderedPageBreak/>
        <w:t>administrativas impacta diretamente a saúde mental, reduzindo o tempo dedicado à prática pedagógica criativa e gerando frustração. Estudos mostram que a sobrecarga, quando vinculada a metas de desempenho, aumenta a probabilidade de burnout entre professores (</w:t>
      </w:r>
      <w:r w:rsidR="00E80821" w:rsidRPr="008F15A8">
        <w:rPr>
          <w:lang w:val="pt-BR" w:eastAsia="pt-BR"/>
        </w:rPr>
        <w:t>Tsubono</w:t>
      </w:r>
      <w:r w:rsidRPr="008F15A8">
        <w:rPr>
          <w:lang w:val="pt-BR" w:eastAsia="pt-BR"/>
        </w:rPr>
        <w:t xml:space="preserve">; </w:t>
      </w:r>
      <w:r w:rsidR="00E80821" w:rsidRPr="008F15A8">
        <w:rPr>
          <w:lang w:val="pt-BR" w:eastAsia="pt-BR"/>
        </w:rPr>
        <w:t>Mitoku</w:t>
      </w:r>
      <w:r w:rsidRPr="008F15A8">
        <w:rPr>
          <w:lang w:val="pt-BR" w:eastAsia="pt-BR"/>
        </w:rPr>
        <w:t>, 2023).</w:t>
      </w:r>
    </w:p>
    <w:p w14:paraId="2055D510" w14:textId="65918CD9" w:rsidR="007A545C" w:rsidRPr="008F15A8" w:rsidRDefault="007A545C" w:rsidP="00E80821">
      <w:pPr>
        <w:pStyle w:val="12"/>
        <w:rPr>
          <w:lang w:val="pt-BR" w:eastAsia="pt-BR"/>
        </w:rPr>
      </w:pPr>
      <w:r w:rsidRPr="008F15A8">
        <w:rPr>
          <w:lang w:val="pt-BR" w:eastAsia="pt-BR"/>
        </w:rPr>
        <w:t xml:space="preserve">Outro fator relacionado é a falta de equilíbrio entre as exigências institucionais e os recursos oferecidos para cumpri-las. Em contextos onde não há suporte organizacional adequado, os docentes tendem a desenvolver sentimentos de impotência. Pressley </w:t>
      </w:r>
      <w:r w:rsidR="00C13152" w:rsidRPr="00C13152">
        <w:rPr>
          <w:i/>
          <w:lang w:val="pt-BR" w:eastAsia="pt-BR"/>
        </w:rPr>
        <w:t>et al</w:t>
      </w:r>
      <w:r w:rsidRPr="008F15A8">
        <w:rPr>
          <w:lang w:val="pt-BR" w:eastAsia="pt-BR"/>
        </w:rPr>
        <w:t>. (2024) destacam que o acesso limitado a recursos de saúde mental e o baixo apoio da gestão escolar potencializam os impactos da pressão por resultados. Isso mostra que o peso das cobranças institucionais não é apenas pedagógico, mas também psicológico.</w:t>
      </w:r>
    </w:p>
    <w:p w14:paraId="6270150B" w14:textId="2B80A56C" w:rsidR="00E80821" w:rsidRPr="00E80821" w:rsidRDefault="00E80821" w:rsidP="00E80821">
      <w:pPr>
        <w:pStyle w:val="12"/>
        <w:rPr>
          <w:lang w:val="pt-BR" w:eastAsia="pt-BR"/>
        </w:rPr>
      </w:pPr>
      <w:r w:rsidRPr="00C84713">
        <w:rPr>
          <w:lang w:eastAsia="pt-BR"/>
        </w:rPr>
        <w:t xml:space="preserve">A literatura internacional, como demonstram Pressley </w:t>
      </w:r>
      <w:r w:rsidR="00C13152" w:rsidRPr="00C84713">
        <w:rPr>
          <w:i/>
          <w:lang w:eastAsia="pt-BR"/>
        </w:rPr>
        <w:t>et al</w:t>
      </w:r>
      <w:r w:rsidRPr="00C84713">
        <w:rPr>
          <w:lang w:eastAsia="pt-BR"/>
        </w:rPr>
        <w:t xml:space="preserve">. (2024), Laitinen (2022) e Zheng </w:t>
      </w:r>
      <w:r w:rsidR="00C13152" w:rsidRPr="00C84713">
        <w:rPr>
          <w:i/>
          <w:lang w:eastAsia="pt-BR"/>
        </w:rPr>
        <w:t>et al</w:t>
      </w:r>
      <w:r w:rsidRPr="00C84713">
        <w:rPr>
          <w:lang w:eastAsia="pt-BR"/>
        </w:rPr>
        <w:t>. (2022),</w:t>
      </w:r>
      <w:r w:rsidRPr="00E80821">
        <w:rPr>
          <w:lang w:eastAsia="pt-BR"/>
        </w:rPr>
        <w:t xml:space="preserve"> aponta que em países com culturas educacionais fortemente voltadas para o desempenho, como o Japão, professores enfrentam altos níveis de estresse derivados das expectativas institucionais e sociais. Kameda (2025) evidencia que tanto o bem-estar docente quanto o discente ficam comprometidos quando há ênfase excessiva em resultados acadêmicos. Essa realidade ressalta que a pressão não se limita a avaliações, mas se estende a todo o </w:t>
      </w:r>
      <w:r w:rsidRPr="00E80821">
        <w:rPr>
          <w:i/>
          <w:iCs/>
          <w:lang w:eastAsia="pt-BR"/>
        </w:rPr>
        <w:t>ethos</w:t>
      </w:r>
      <w:r w:rsidRPr="00E80821">
        <w:rPr>
          <w:lang w:eastAsia="pt-BR"/>
        </w:rPr>
        <w:t xml:space="preserve"> escolar.</w:t>
      </w:r>
      <w:r w:rsidRPr="00E80821">
        <w:rPr>
          <w:lang w:val="pt-BR" w:eastAsia="pt-BR"/>
        </w:rPr>
        <w:t xml:space="preserve"> </w:t>
      </w:r>
    </w:p>
    <w:p w14:paraId="5B3422F1" w14:textId="083B5465" w:rsidR="007A545C" w:rsidRPr="008F15A8" w:rsidRDefault="00E80821" w:rsidP="00E80821">
      <w:pPr>
        <w:pStyle w:val="12"/>
        <w:rPr>
          <w:lang w:val="pt-BR" w:eastAsia="pt-BR"/>
        </w:rPr>
      </w:pPr>
      <w:r>
        <w:rPr>
          <w:lang w:val="pt-BR" w:eastAsia="pt-BR"/>
        </w:rPr>
        <w:t>Ademais</w:t>
      </w:r>
      <w:r w:rsidR="007A545C" w:rsidRPr="008F15A8">
        <w:rPr>
          <w:lang w:val="pt-BR" w:eastAsia="pt-BR"/>
        </w:rPr>
        <w:t>, o grau de satisfação no trabalho modula os efeitos da pressão institucional. Quando os professores percebem reconhecimento ou valorização, os impactos da cobrança podem ser mitigados. Singh e Gautam (2024) demonstram que a satisfação profissional atua como fator protetivo contra os efeitos negativos das demandas institucionais. Assim, o problema não está apenas na existência de metas, mas na forma como elas são implementadas e na valorização dada ao trabalho docente.</w:t>
      </w:r>
    </w:p>
    <w:p w14:paraId="7A2D68EA" w14:textId="77777777" w:rsidR="007A545C" w:rsidRPr="008F15A8" w:rsidRDefault="007A545C" w:rsidP="00E80821">
      <w:pPr>
        <w:pStyle w:val="12"/>
        <w:rPr>
          <w:lang w:val="pt-BR" w:eastAsia="pt-BR"/>
        </w:rPr>
      </w:pPr>
      <w:r w:rsidRPr="008F15A8">
        <w:rPr>
          <w:lang w:val="pt-BR" w:eastAsia="pt-BR"/>
        </w:rPr>
        <w:t>Os estudos também evidenciam que perfis de bem-estar diferem conforme o contexto e a forma como as políticas são aplicadas. Laitinen (2022) identificou que professores que vivenciam ambientes mais colaborativos e menos competitivos reportam níveis mais altos de bem-estar. Isso sugere que as exigências institucionais podem ser moduladas por estratégias que priorizem cooperação em vez de competição. A organização escolar, portanto, exerce papel decisivo no equilíbrio entre cobranças e proteção da saúde mental.</w:t>
      </w:r>
    </w:p>
    <w:p w14:paraId="3B1ED264" w14:textId="5AB9E756" w:rsidR="007A545C" w:rsidRPr="008F15A8" w:rsidRDefault="007A545C" w:rsidP="00E80821">
      <w:pPr>
        <w:pStyle w:val="12"/>
        <w:rPr>
          <w:lang w:val="pt-BR" w:eastAsia="pt-BR"/>
        </w:rPr>
      </w:pPr>
      <w:r w:rsidRPr="008F15A8">
        <w:rPr>
          <w:lang w:val="pt-BR" w:eastAsia="pt-BR"/>
        </w:rPr>
        <w:t xml:space="preserve">A pressão por resultados, quando desvinculada de um olhar humanizado sobre o processo educacional, reforça um modelo que desgasta emocionalmente os </w:t>
      </w:r>
      <w:r w:rsidRPr="008F15A8">
        <w:rPr>
          <w:lang w:val="pt-BR" w:eastAsia="pt-BR"/>
        </w:rPr>
        <w:lastRenderedPageBreak/>
        <w:t>professores. A combinação de exigências institucionais elevadas, ausência de suporte adequado e falta de reconhecimento forma um terreno fértil para o esgotamento psicológico. Como apontam Dolgopolova e Manukhina (2020), apenas com estratégias pedagógicas e institucionais de prevenção é possível reduzir o impacto dessa pressão na saúde mental docente.</w:t>
      </w:r>
    </w:p>
    <w:p w14:paraId="62F1FF17" w14:textId="77777777" w:rsidR="007A545C" w:rsidRPr="008F15A8" w:rsidRDefault="007A545C" w:rsidP="00E80821">
      <w:pPr>
        <w:pStyle w:val="12"/>
        <w:rPr>
          <w:lang w:val="pt-BR" w:eastAsia="pt-BR"/>
        </w:rPr>
      </w:pPr>
      <w:r w:rsidRPr="008F15A8">
        <w:rPr>
          <w:lang w:val="pt-BR" w:eastAsia="pt-BR"/>
        </w:rPr>
        <w:t>A desvalorização da carreira docente tem sido apontada como um dos principais fatores de desmotivação e adoecimento psicológico entre professores. A baixa remuneração, a falta de reconhecimento social e a sobrecarga de funções fragilizam o sentido do trabalho pedagógico e comprometem a identidade profissional. Magalhães, Andrade e Wittizorecki (2024) evidenciam que o mal-estar docente está diretamente ligado à percepção de desvalorização, especialmente em contextos escolares que não oferecem suporte adequado nem condições dignas de trabalho. Esse quadro de desmotivação contribui para sentimentos de frustração e para o afastamento da profissão.</w:t>
      </w:r>
    </w:p>
    <w:p w14:paraId="78D40F1C" w14:textId="77777777" w:rsidR="007A545C" w:rsidRPr="008F15A8" w:rsidRDefault="007A545C" w:rsidP="00E80821">
      <w:pPr>
        <w:pStyle w:val="12"/>
        <w:rPr>
          <w:lang w:val="pt-BR" w:eastAsia="pt-BR"/>
        </w:rPr>
      </w:pPr>
      <w:r w:rsidRPr="008F15A8">
        <w:rPr>
          <w:lang w:val="pt-BR" w:eastAsia="pt-BR"/>
        </w:rPr>
        <w:t>O impacto da desvalorização não se limita ao aspecto econômico, mas estende-se ao simbólico. A psicodinâmica das relações de trabalho mostra que, quando o professor não reconhece valor no que realiza, o sofrimento psíquico tende a se intensificar. Pereira, Traesel e Merlo (2017) argumentam que a docência envolve não apenas a transmissão de conhecimento, mas também um compromisso afetivo e social. A ausência de reconhecimento institucional mina esse compromisso, gerando mal-estar e reduzindo a motivação intrínseca.</w:t>
      </w:r>
    </w:p>
    <w:p w14:paraId="7A54ABBD" w14:textId="77777777" w:rsidR="007A545C" w:rsidRPr="008F15A8" w:rsidRDefault="007A545C" w:rsidP="00E80821">
      <w:pPr>
        <w:pStyle w:val="12"/>
        <w:rPr>
          <w:lang w:val="pt-BR" w:eastAsia="pt-BR"/>
        </w:rPr>
      </w:pPr>
      <w:r w:rsidRPr="008F15A8">
        <w:rPr>
          <w:lang w:val="pt-BR" w:eastAsia="pt-BR"/>
        </w:rPr>
        <w:t>No campo da formação, a construção da identidade docente pode ser atravessada por sentimentos ambíguos, muitas vezes relacionados ao pouco prestígio da profissão. Lima e Carneiro (2022) destacam que programas de formação, como a residência docente, mostram-se essenciais para fortalecer o engajamento dos professores iniciantes. Entretanto, sem políticas públicas de valorização, mesmo esses espaços formativos enfrentam dificuldades para manter a motivação em longo prazo. Isso reforça que a desvalorização não atinge apenas os profissionais experientes, mas também os em início de carreira.</w:t>
      </w:r>
    </w:p>
    <w:p w14:paraId="2EBC9693" w14:textId="77777777" w:rsidR="00E80821" w:rsidRDefault="00E80821" w:rsidP="00E80821">
      <w:pPr>
        <w:pStyle w:val="12"/>
        <w:rPr>
          <w:lang w:eastAsia="pt-BR"/>
        </w:rPr>
      </w:pPr>
      <w:r w:rsidRPr="00E80821">
        <w:rPr>
          <w:lang w:eastAsia="pt-BR"/>
        </w:rPr>
        <w:t xml:space="preserve">A literatura, representada por estudos como os de </w:t>
      </w:r>
      <w:r w:rsidRPr="00C84713">
        <w:rPr>
          <w:lang w:eastAsia="pt-BR"/>
        </w:rPr>
        <w:t>Pereira, Traesel e Merlo (2017), Lima e Carneiro (2022) e Magalhães, Andrade e Wittizorecki (2024), aponta ainda que a desvalorização está associada à precarização das condições laborais. O acúmulo de tarefas extraclasse, aliado à falta de reconhecimento social, leva à erosão do prazer em ensinar. Magalhães, Andrade e Wittizorecki (2024) mostram</w:t>
      </w:r>
      <w:r w:rsidRPr="00E80821">
        <w:rPr>
          <w:lang w:eastAsia="pt-BR"/>
        </w:rPr>
        <w:t xml:space="preserve"> que esse </w:t>
      </w:r>
      <w:r w:rsidRPr="00E80821">
        <w:rPr>
          <w:lang w:eastAsia="pt-BR"/>
        </w:rPr>
        <w:lastRenderedPageBreak/>
        <w:t>mal-estar se manifesta em sintomas como exaustão, desânimo e despersonalização, típicos da síndrome de burnout. A consequência é um ciclo de desgaste contínuo, no qual a desmotivação reduz o desempenho pedagógico, reforçando estereótipos negativos sobre a profissão.</w:t>
      </w:r>
    </w:p>
    <w:p w14:paraId="40636E08" w14:textId="1AC26580" w:rsidR="007A545C" w:rsidRPr="008F15A8" w:rsidRDefault="007A545C" w:rsidP="00E80821">
      <w:pPr>
        <w:pStyle w:val="12"/>
        <w:rPr>
          <w:lang w:val="pt-BR" w:eastAsia="pt-BR"/>
        </w:rPr>
      </w:pPr>
      <w:r w:rsidRPr="008F15A8">
        <w:rPr>
          <w:lang w:val="pt-BR" w:eastAsia="pt-BR"/>
        </w:rPr>
        <w:t>Vieira (2014) acrescenta que a desvalorização docente compromete também a qualidade da pedagogia universitária, uma vez que professores desmotivados têm menor disposição para inovar em suas práticas. A motivação, nesse sentido, não é apenas individual, mas está intrinsecamente relacionada ao reconhecimento coletivo do papel do professor na transformação social. Assim, quando a carreira docente é socialmente subestimada, perde-se não apenas o vigor do profissional, mas também a qualidade do processo formativo dos estudantes.</w:t>
      </w:r>
    </w:p>
    <w:p w14:paraId="4180F795" w14:textId="77777777" w:rsidR="007A545C" w:rsidRPr="008F15A8" w:rsidRDefault="007A545C" w:rsidP="00E80821">
      <w:pPr>
        <w:pStyle w:val="12"/>
        <w:rPr>
          <w:lang w:val="pt-BR" w:eastAsia="pt-BR"/>
        </w:rPr>
      </w:pPr>
      <w:r w:rsidRPr="008F15A8">
        <w:rPr>
          <w:lang w:val="pt-BR" w:eastAsia="pt-BR"/>
        </w:rPr>
        <w:t>É importante observar que a motivação docente está intimamente vinculada ao equilíbrio entre demandas externas e recompensas simbólicas e materiais. Pereira, Traesel e Merlo (2017) reforçam que, em ambientes nos quais há valorização institucional e relações de trabalho saudáveis, o sofrimento pode ser transformado em potência criativa. No entanto, quando predomina a falta de reconhecimento, instala-se um mal-estar que fragiliza o engajamento, reforçando o ciclo da desvalorização.</w:t>
      </w:r>
    </w:p>
    <w:p w14:paraId="0BA6DE55" w14:textId="77777777" w:rsidR="007A545C" w:rsidRPr="008F15A8" w:rsidRDefault="007A545C" w:rsidP="00E80821">
      <w:pPr>
        <w:pStyle w:val="12"/>
        <w:rPr>
          <w:lang w:val="pt-BR" w:eastAsia="pt-BR"/>
        </w:rPr>
      </w:pPr>
      <w:r w:rsidRPr="008F15A8">
        <w:rPr>
          <w:lang w:val="pt-BR" w:eastAsia="pt-BR"/>
        </w:rPr>
        <w:t>Em síntese, a desvalorização profissional compromete não apenas o bem-estar psíquico, mas também a motivação necessária para sustentar a prática pedagógica. O enfrentamento desse quadro exige políticas públicas que valorizem a carreira, remunerações justas e o fortalecimento da identidade docente desde a formação inicial. Sem tais medidas, o impacto negativo da desvalorização tende a se perpetuar, fragilizando não apenas os profissionais, mas todo o processo educativo.</w:t>
      </w:r>
    </w:p>
    <w:p w14:paraId="5226C21A" w14:textId="7E8B562D" w:rsidR="007A545C" w:rsidRPr="008F15A8" w:rsidRDefault="007A545C" w:rsidP="00E80821">
      <w:pPr>
        <w:pStyle w:val="12"/>
        <w:rPr>
          <w:lang w:val="pt-BR" w:eastAsia="pt-BR"/>
        </w:rPr>
      </w:pPr>
      <w:r w:rsidRPr="008F15A8">
        <w:rPr>
          <w:lang w:val="pt-BR" w:eastAsia="pt-BR"/>
        </w:rPr>
        <w:t xml:space="preserve">A pandemia de COVID-19 provocou profundas mudanças no cotidiano escolar e desencadeou novas formas de desgaste psicológico entre professores. O ensino remoto emergencial, aliado à insegurança sanitária, ampliou significativamente os níveis de estresse e ansiedade. Robinson </w:t>
      </w:r>
      <w:r w:rsidR="00C13152" w:rsidRPr="00C13152">
        <w:rPr>
          <w:i/>
          <w:lang w:val="pt-BR" w:eastAsia="pt-BR"/>
        </w:rPr>
        <w:t>et al</w:t>
      </w:r>
      <w:r w:rsidRPr="008F15A8">
        <w:rPr>
          <w:lang w:val="pt-BR" w:eastAsia="pt-BR"/>
        </w:rPr>
        <w:t>. (2022) mostram que a docência nesse período esteve marcada por sentimentos de sobrecarga, frustração e incerteza, agravados pela falta de preparo para lidar com ferramentas digitais. Essa adaptação abrupta intensificou a percepção de instabilidade na carreira e afetou o equilíbrio emocional dos docentes.</w:t>
      </w:r>
    </w:p>
    <w:p w14:paraId="33F15250" w14:textId="44E1F970" w:rsidR="007A545C" w:rsidRPr="008F15A8" w:rsidRDefault="007A545C" w:rsidP="00E80821">
      <w:pPr>
        <w:pStyle w:val="12"/>
        <w:rPr>
          <w:lang w:val="pt-BR" w:eastAsia="pt-BR"/>
        </w:rPr>
      </w:pPr>
      <w:r w:rsidRPr="008F15A8">
        <w:rPr>
          <w:lang w:val="pt-BR" w:eastAsia="pt-BR"/>
        </w:rPr>
        <w:t xml:space="preserve">As repercussões também atingiram a qualidade de vida, com aumento das demandas de trabalho e redução dos espaços de autocuidado. Lizana </w:t>
      </w:r>
      <w:r w:rsidR="00C13152" w:rsidRPr="00C13152">
        <w:rPr>
          <w:i/>
          <w:lang w:val="pt-BR" w:eastAsia="pt-BR"/>
        </w:rPr>
        <w:t>et al</w:t>
      </w:r>
      <w:r w:rsidRPr="008F15A8">
        <w:rPr>
          <w:lang w:val="pt-BR" w:eastAsia="pt-BR"/>
        </w:rPr>
        <w:t>. (2021), em estudo longitudinal, identificaram que professores apresentaram queda no bem-</w:t>
      </w:r>
      <w:r w:rsidRPr="008F15A8">
        <w:rPr>
          <w:lang w:val="pt-BR" w:eastAsia="pt-BR"/>
        </w:rPr>
        <w:lastRenderedPageBreak/>
        <w:t>estar durante a pandemia, em comparação com o período anterior. A sobreposição de funções — ensino, gestão de tarefas administrativas e apoio emocional a estudantes — tornou-se um fator determinante para o desgaste. Esse cenário consolidou o chamado “trabalho invisível”, não reconhecido, mas fundamental no período de crise.</w:t>
      </w:r>
    </w:p>
    <w:p w14:paraId="4BEF8BFF" w14:textId="0BFBCA2D" w:rsidR="007A545C" w:rsidRPr="008F15A8" w:rsidRDefault="007A545C" w:rsidP="00E80821">
      <w:pPr>
        <w:pStyle w:val="12"/>
        <w:rPr>
          <w:lang w:val="pt-BR" w:eastAsia="pt-BR"/>
        </w:rPr>
      </w:pPr>
      <w:r w:rsidRPr="008F15A8">
        <w:rPr>
          <w:lang w:val="pt-BR" w:eastAsia="pt-BR"/>
        </w:rPr>
        <w:t xml:space="preserve">No caso de professores da educação especial, as dificuldades foram ainda mais evidentes. Cormier </w:t>
      </w:r>
      <w:r w:rsidR="00C13152" w:rsidRPr="00C13152">
        <w:rPr>
          <w:i/>
          <w:lang w:val="pt-BR" w:eastAsia="pt-BR"/>
        </w:rPr>
        <w:t>et al</w:t>
      </w:r>
      <w:r w:rsidRPr="008F15A8">
        <w:rPr>
          <w:lang w:val="pt-BR" w:eastAsia="pt-BR"/>
        </w:rPr>
        <w:t>. (2021) relatam que a necessidade de adaptação das práticas pedagógicas a alunos com deficiência, em contextos de distanciamento social, ampliou a carga emocional dos docentes. O desafio de manter o engajamento dos estudantes, mesmo com recursos limitados, elevou os níveis de sofrimento psicológico. Esse segmento da docência mostrou maior vulnerabilidade ao estresse, dada a complexidade do processo de ensino-aprendizagem em tais condições.</w:t>
      </w:r>
    </w:p>
    <w:p w14:paraId="3FDA93AC" w14:textId="57013562" w:rsidR="007A545C" w:rsidRPr="008F15A8" w:rsidRDefault="007A545C" w:rsidP="00E80821">
      <w:pPr>
        <w:pStyle w:val="12"/>
        <w:rPr>
          <w:lang w:val="pt-BR" w:eastAsia="pt-BR"/>
        </w:rPr>
      </w:pPr>
      <w:r w:rsidRPr="008F15A8">
        <w:rPr>
          <w:lang w:val="pt-BR" w:eastAsia="pt-BR"/>
        </w:rPr>
        <w:t xml:space="preserve">Outro aspecto importante foi a intensificação das desigualdades sociais refletidas no trabalho docente. Liu </w:t>
      </w:r>
      <w:r w:rsidR="00C13152" w:rsidRPr="00C13152">
        <w:rPr>
          <w:i/>
          <w:lang w:val="pt-BR" w:eastAsia="pt-BR"/>
        </w:rPr>
        <w:t>et al</w:t>
      </w:r>
      <w:r w:rsidRPr="008F15A8">
        <w:rPr>
          <w:lang w:val="pt-BR" w:eastAsia="pt-BR"/>
        </w:rPr>
        <w:t>. (2022) apontam que, durante a pandemia, as diferenças socioeconômicas impactaram diretamente a experiência de estudantes e professores, tornando a docência mais exaustiva. A falta de acesso adequado à internet e a recursos tecnológicos ampliou as pressões sobre os educadores, que assumiram a responsabilidade de encontrar alternativas para reduzir os impactos do isolamento.</w:t>
      </w:r>
    </w:p>
    <w:p w14:paraId="3F6005C0" w14:textId="4BB2E9C3" w:rsidR="007A545C" w:rsidRPr="008F15A8" w:rsidRDefault="007A545C" w:rsidP="00E80821">
      <w:pPr>
        <w:pStyle w:val="12"/>
        <w:rPr>
          <w:lang w:val="pt-BR" w:eastAsia="pt-BR"/>
        </w:rPr>
      </w:pPr>
      <w:r w:rsidRPr="008F15A8">
        <w:rPr>
          <w:lang w:val="pt-BR" w:eastAsia="pt-BR"/>
        </w:rPr>
        <w:t xml:space="preserve">A literatura também evidencia que a pandemia repercutiu em efeitos prolongados. Robinson </w:t>
      </w:r>
      <w:r w:rsidR="00C13152" w:rsidRPr="00C13152">
        <w:rPr>
          <w:i/>
          <w:lang w:val="pt-BR" w:eastAsia="pt-BR"/>
        </w:rPr>
        <w:t>et al</w:t>
      </w:r>
      <w:r w:rsidRPr="008F15A8">
        <w:rPr>
          <w:lang w:val="pt-BR" w:eastAsia="pt-BR"/>
        </w:rPr>
        <w:t>. (2022) ressaltam que, mesmo após a reabertura parcial das escolas, professores continuaram a relatar sintomas de exaustão e fadiga. O retorno presencial trouxe novos desafios, como o medo do contágio e a necessidade de manter protocolos sanitários, que se somaram às demandas pedagógicas. Esse prolongamento da crise contribuiu para o aumento da intenção de abandono da profissão em alguns contextos.</w:t>
      </w:r>
    </w:p>
    <w:p w14:paraId="61C96F8A" w14:textId="1611EEF2" w:rsidR="007A545C" w:rsidRPr="008F15A8" w:rsidRDefault="007A545C" w:rsidP="00E80821">
      <w:pPr>
        <w:pStyle w:val="12"/>
        <w:rPr>
          <w:lang w:val="pt-BR" w:eastAsia="pt-BR"/>
        </w:rPr>
      </w:pPr>
      <w:r w:rsidRPr="008F15A8">
        <w:rPr>
          <w:lang w:val="pt-BR" w:eastAsia="pt-BR"/>
        </w:rPr>
        <w:t xml:space="preserve">Além disso, estudos internacionais sugerem que a pandemia acentuou a percepção de desvalorização docente. Lizana </w:t>
      </w:r>
      <w:r w:rsidR="00C13152" w:rsidRPr="00C13152">
        <w:rPr>
          <w:i/>
          <w:lang w:val="pt-BR" w:eastAsia="pt-BR"/>
        </w:rPr>
        <w:t>et al</w:t>
      </w:r>
      <w:r w:rsidRPr="008F15A8">
        <w:rPr>
          <w:lang w:val="pt-BR" w:eastAsia="pt-BR"/>
        </w:rPr>
        <w:t>. (2021) destacam que muitos professores sentiram que seus esforços não foram devidamente reconhecidos pelas instituições, o que intensificou o mal-estar psicológico. A falta de políticas específicas de apoio durante o período foi vista como negligência institucional, agravando a sensação de isolamento e de sobrecarga entre os profissionais.</w:t>
      </w:r>
    </w:p>
    <w:p w14:paraId="07C8E457" w14:textId="6DFBE27C" w:rsidR="007A545C" w:rsidRPr="008F15A8" w:rsidRDefault="007A545C" w:rsidP="00E80821">
      <w:pPr>
        <w:pStyle w:val="12"/>
        <w:rPr>
          <w:lang w:val="pt-BR" w:eastAsia="pt-BR"/>
        </w:rPr>
      </w:pPr>
      <w:r w:rsidRPr="008F15A8">
        <w:rPr>
          <w:lang w:val="pt-BR" w:eastAsia="pt-BR"/>
        </w:rPr>
        <w:t xml:space="preserve">A pandemia de COVID-19 representou um marco para a compreensão do desgaste psicológico docente, trazendo à tona fragilidades já existentes e ampliando-as. O ensino remoto, a sobrecarga de funções, a falta de suporte institucional e a </w:t>
      </w:r>
      <w:r w:rsidRPr="008F15A8">
        <w:rPr>
          <w:lang w:val="pt-BR" w:eastAsia="pt-BR"/>
        </w:rPr>
        <w:lastRenderedPageBreak/>
        <w:t>instabilidade sanitária formaram um conjunto de fatores que afetaram negativamente a saúde mental dos professores. Reconhecer esses impactos é essencial para estruturar políticas públicas e institucionais que fortaleçam a resiliência e o bem-estar docente em contextos de crise.</w:t>
      </w:r>
    </w:p>
    <w:p w14:paraId="01737BA7" w14:textId="7E88CC3E" w:rsidR="00F45082" w:rsidRPr="008F15A8" w:rsidRDefault="00F45082" w:rsidP="00E80821">
      <w:pPr>
        <w:pStyle w:val="12"/>
        <w:rPr>
          <w:lang w:val="pt-BR" w:eastAsia="pt-BR"/>
        </w:rPr>
      </w:pPr>
    </w:p>
    <w:p w14:paraId="465B58BC" w14:textId="6FE6837B" w:rsidR="00F45082" w:rsidRPr="008F15A8" w:rsidRDefault="00F45082" w:rsidP="00C13152">
      <w:pPr>
        <w:pStyle w:val="Ttulo2"/>
        <w:spacing w:line="360" w:lineRule="auto"/>
        <w:ind w:left="0"/>
        <w:jc w:val="left"/>
        <w:rPr>
          <w:lang w:val="pt-BR" w:eastAsia="pt-BR"/>
        </w:rPr>
      </w:pPr>
      <w:bookmarkStart w:id="15" w:name="_Toc210894968"/>
      <w:r w:rsidRPr="008F15A8">
        <w:rPr>
          <w:lang w:val="pt-BR" w:eastAsia="pt-BR"/>
        </w:rPr>
        <w:t>2.2 Principais estressores vivenciados na carreira docente</w:t>
      </w:r>
      <w:bookmarkEnd w:id="15"/>
    </w:p>
    <w:p w14:paraId="07F4D64A" w14:textId="77777777" w:rsidR="007A545C" w:rsidRPr="008F15A8" w:rsidRDefault="007A545C" w:rsidP="00E80821">
      <w:pPr>
        <w:pStyle w:val="12"/>
        <w:rPr>
          <w:lang w:val="pt-BR" w:eastAsia="pt-BR"/>
        </w:rPr>
      </w:pPr>
    </w:p>
    <w:p w14:paraId="0972B5C7" w14:textId="77777777" w:rsidR="007A545C" w:rsidRPr="008F15A8" w:rsidRDefault="007A545C" w:rsidP="00E80821">
      <w:pPr>
        <w:pStyle w:val="12"/>
        <w:rPr>
          <w:lang w:val="pt-BR" w:eastAsia="pt-BR"/>
        </w:rPr>
      </w:pPr>
      <w:r w:rsidRPr="008F15A8">
        <w:rPr>
          <w:lang w:val="pt-BR" w:eastAsia="pt-BR"/>
        </w:rPr>
        <w:t>A relação entre professores e alunos é um dos aspectos centrais do trabalho docente e exerce influência direta tanto na qualidade do ensino quanto no bem-estar emocional do educador. Ambientes de sala de aula marcados por conflitos, indisciplina ou desmotivação dos estudantes podem aumentar o estresse e comprometer a saúde mental dos professores. Junaid, Mushtaq e Iqbal (2023) evidenciam que o clima da sala de aula está fortemente relacionado ao desenvolvimento de valores morais e ao engajamento dos alunos, o que demonstra como a gestão desse espaço se torna decisiva para evitar tensões psicológicas no exercício da docência.</w:t>
      </w:r>
    </w:p>
    <w:p w14:paraId="10B44E91" w14:textId="788AB16E" w:rsidR="007A545C" w:rsidRPr="008F15A8" w:rsidRDefault="007A545C" w:rsidP="00E80821">
      <w:pPr>
        <w:pStyle w:val="12"/>
        <w:rPr>
          <w:lang w:val="pt-BR" w:eastAsia="pt-BR"/>
        </w:rPr>
      </w:pPr>
      <w:r w:rsidRPr="008F15A8">
        <w:rPr>
          <w:lang w:val="pt-BR" w:eastAsia="pt-BR"/>
        </w:rPr>
        <w:t xml:space="preserve">As práticas de manejo da sala de aula estão diretamente associadas à percepção de autoeficácia docente. Professores que desenvolvem estratégias eficazes de gestão relatam maior segurança e menor desgaste emocional, mesmo em contextos desafiadores. Nesse sentido, Zeb, Zhang e Khan (2024) destacam que a autoeficácia </w:t>
      </w:r>
      <w:r w:rsidR="00C84713" w:rsidRPr="008F15A8">
        <w:rPr>
          <w:lang w:val="pt-BR" w:eastAsia="pt-BR"/>
        </w:rPr>
        <w:t>influência</w:t>
      </w:r>
      <w:r w:rsidRPr="008F15A8">
        <w:rPr>
          <w:lang w:val="pt-BR" w:eastAsia="pt-BR"/>
        </w:rPr>
        <w:t xml:space="preserve"> de forma significativa a capacidade dos docentes em lidar com a disciplina e organizar o ambiente escolar. A ausência dessa confiança, por outro lado, pode levar a sentimentos de impotência e ao agravamento do estresse ocupacional.</w:t>
      </w:r>
    </w:p>
    <w:p w14:paraId="7036B7C9" w14:textId="62DDCC8F" w:rsidR="007A545C" w:rsidRPr="008F15A8" w:rsidRDefault="007A545C" w:rsidP="00E80821">
      <w:pPr>
        <w:pStyle w:val="12"/>
        <w:rPr>
          <w:lang w:val="pt-BR" w:eastAsia="pt-BR"/>
        </w:rPr>
      </w:pPr>
      <w:r w:rsidRPr="008F15A8">
        <w:rPr>
          <w:lang w:val="pt-BR" w:eastAsia="pt-BR"/>
        </w:rPr>
        <w:t xml:space="preserve">Outro ponto fundamental é a criação de ambientes de aprendizagem positivos e inclusivos. Lombas </w:t>
      </w:r>
      <w:r w:rsidR="00C13152" w:rsidRPr="00C13152">
        <w:rPr>
          <w:i/>
          <w:lang w:val="pt-BR" w:eastAsia="pt-BR"/>
        </w:rPr>
        <w:t>et al</w:t>
      </w:r>
      <w:r w:rsidRPr="008F15A8">
        <w:rPr>
          <w:lang w:val="pt-BR" w:eastAsia="pt-BR"/>
        </w:rPr>
        <w:t>. (2019), ao analisarem o programa </w:t>
      </w:r>
      <w:r w:rsidRPr="008F15A8">
        <w:rPr>
          <w:i/>
          <w:iCs/>
          <w:lang w:val="pt-BR" w:eastAsia="pt-BR"/>
        </w:rPr>
        <w:t>Happy Classrooms</w:t>
      </w:r>
      <w:r w:rsidRPr="008F15A8">
        <w:rPr>
          <w:lang w:val="pt-BR" w:eastAsia="pt-BR"/>
        </w:rPr>
        <w:t>, demonstraram que intervenções voltadas para o bem-estar coletivo dos estudantes impactam não apenas no clima escolar, mas também na saúde psicológica dos professores. A redução de agressões e a promoção de um ambiente colaborativo contribuem para diminuir os níveis de estresse docente, reforçando o papel das políticas escolares no apoio à saúde mental dos profissionais.</w:t>
      </w:r>
    </w:p>
    <w:p w14:paraId="7E35932D" w14:textId="77777777" w:rsidR="007A545C" w:rsidRPr="008F15A8" w:rsidRDefault="007A545C" w:rsidP="00E80821">
      <w:pPr>
        <w:pStyle w:val="12"/>
        <w:rPr>
          <w:lang w:val="pt-BR" w:eastAsia="pt-BR"/>
        </w:rPr>
      </w:pPr>
      <w:r w:rsidRPr="008F15A8">
        <w:rPr>
          <w:lang w:val="pt-BR" w:eastAsia="pt-BR"/>
        </w:rPr>
        <w:t xml:space="preserve">Durante a pandemia de COVID-19, o distanciamento social trouxe novos desafios para a relação entre professores e alunos. O ensino remoto fragilizou os vínculos interpessoais, tornando mais difícil manter engajamento e disciplina. Andreas, Wulandari e Pandjaitan (2021) ressaltam que, nesse contexto, os próprios </w:t>
      </w:r>
      <w:r w:rsidRPr="008F15A8">
        <w:rPr>
          <w:lang w:val="pt-BR" w:eastAsia="pt-BR"/>
        </w:rPr>
        <w:lastRenderedPageBreak/>
        <w:t>professores tiveram de se reinventar como “aprendizes”, adquirindo novas competências tecnológicas para estimular a participação discente. Essa adaptação, embora positiva em alguns aspectos, também gerou sobrecarga emocional, pois aumentou as demandas de tempo e energia.</w:t>
      </w:r>
    </w:p>
    <w:p w14:paraId="4EF5E9C1" w14:textId="3F4C4D7A" w:rsidR="008A4345" w:rsidRDefault="008A4345" w:rsidP="00E80821">
      <w:pPr>
        <w:pStyle w:val="12"/>
        <w:rPr>
          <w:lang w:eastAsia="pt-BR"/>
        </w:rPr>
      </w:pPr>
      <w:r w:rsidRPr="008A4345">
        <w:rPr>
          <w:lang w:eastAsia="pt-BR"/>
        </w:rPr>
        <w:t xml:space="preserve">A literatura especializada sobre bem-estar docente e ambiente escolar, como </w:t>
      </w:r>
      <w:r w:rsidRPr="00C84713">
        <w:rPr>
          <w:lang w:eastAsia="pt-BR"/>
        </w:rPr>
        <w:t xml:space="preserve">demonstram Junaid, Mushtaq e Iqbal (2023) e Lombas </w:t>
      </w:r>
      <w:r w:rsidR="00C13152" w:rsidRPr="00C84713">
        <w:rPr>
          <w:i/>
          <w:lang w:eastAsia="pt-BR"/>
        </w:rPr>
        <w:t>et al</w:t>
      </w:r>
      <w:r w:rsidRPr="00C84713">
        <w:rPr>
          <w:lang w:eastAsia="pt-BR"/>
        </w:rPr>
        <w:t>. (2019</w:t>
      </w:r>
      <w:r w:rsidRPr="00C84713">
        <w:rPr>
          <w:b/>
          <w:bCs/>
          <w:lang w:eastAsia="pt-BR"/>
        </w:rPr>
        <w:t>)</w:t>
      </w:r>
      <w:r w:rsidRPr="00C84713">
        <w:rPr>
          <w:lang w:eastAsia="pt-BR"/>
        </w:rPr>
        <w:t>,</w:t>
      </w:r>
      <w:r w:rsidRPr="008A4345">
        <w:rPr>
          <w:lang w:eastAsia="pt-BR"/>
        </w:rPr>
        <w:t xml:space="preserve"> mostra que o clima de sala de aula atua como um mediador entre as práticas pedagógicas e os resultados em saúde mental. Quando o ambiente é hostil ou marcado por desrespeito, o professor tende a sentir-se desmotivado e exausto. Por outro lado, contextos onde prevalece a cooperação fortalecem a sensação de pertencimento e reduzem o risco de burnout (LOMBAS </w:t>
      </w:r>
      <w:r w:rsidR="00C13152" w:rsidRPr="00C13152">
        <w:rPr>
          <w:i/>
          <w:lang w:eastAsia="pt-BR"/>
        </w:rPr>
        <w:t>et al</w:t>
      </w:r>
      <w:r w:rsidRPr="008A4345">
        <w:rPr>
          <w:lang w:eastAsia="pt-BR"/>
        </w:rPr>
        <w:t>., 2019). Essa dualidade demonstra a centralidade da gestão da sala de aula para o equilíbrio psicológico dos docentes.</w:t>
      </w:r>
    </w:p>
    <w:p w14:paraId="3075B6DA" w14:textId="385FD187" w:rsidR="007A545C" w:rsidRPr="008F15A8" w:rsidRDefault="007A545C" w:rsidP="00E80821">
      <w:pPr>
        <w:pStyle w:val="12"/>
        <w:rPr>
          <w:lang w:val="pt-BR" w:eastAsia="pt-BR"/>
        </w:rPr>
      </w:pPr>
      <w:r w:rsidRPr="008F15A8">
        <w:rPr>
          <w:lang w:val="pt-BR" w:eastAsia="pt-BR"/>
        </w:rPr>
        <w:t>Além disso, a forma como os alunos respondem às práticas pedagógicas influencia diretamente a motivação docente. Estudos apontam que professores que percebem retorno positivo e engajamento dos estudantes experimentam maior satisfação profissional (JUNAID; MUSHTAQ; IQBAL, 2023). Esse reconhecimento simbólico atua como fator protetivo contra o desgaste, enquanto a indiferença ou o comportamento agressivo dos alunos acentuam sentimentos de frustração e de desvalorização.</w:t>
      </w:r>
    </w:p>
    <w:p w14:paraId="2EF49D6B" w14:textId="0300C816" w:rsidR="007A545C" w:rsidRPr="008F15A8" w:rsidRDefault="007A545C" w:rsidP="00E80821">
      <w:pPr>
        <w:pStyle w:val="12"/>
        <w:rPr>
          <w:lang w:val="pt-BR" w:eastAsia="pt-BR"/>
        </w:rPr>
      </w:pPr>
      <w:r w:rsidRPr="008F15A8">
        <w:rPr>
          <w:lang w:val="pt-BR" w:eastAsia="pt-BR"/>
        </w:rPr>
        <w:t>A relação com os alunos e a gestão da sala de aula não podem ser vistas apenas como dimensões técnicas do trabalho docente, mas como variáveis fundamentais para a saúde mental dos professores. O fortalecimento da autoeficácia, a implementação de programas de promoção do bem-estar e a valorização do vínculo interpessoal constituem estratégias essenciais para reduzir o desgaste psicológico. Reconhecer essa dimensão relacional é um passo crucial para compreender o adoecimento docente em sua complexidade.</w:t>
      </w:r>
    </w:p>
    <w:p w14:paraId="4818F914" w14:textId="77777777" w:rsidR="007A545C" w:rsidRPr="008F15A8" w:rsidRDefault="007A545C" w:rsidP="00E80821">
      <w:pPr>
        <w:pStyle w:val="12"/>
        <w:rPr>
          <w:lang w:val="pt-BR" w:eastAsia="pt-BR"/>
        </w:rPr>
      </w:pPr>
      <w:r w:rsidRPr="008F15A8">
        <w:rPr>
          <w:lang w:val="pt-BR" w:eastAsia="pt-BR"/>
        </w:rPr>
        <w:t>O ambiente escolar, por ser um espaço de intensa interação social, torna-se propício à ocorrência de conflitos interpessoais que afetam diretamente a saúde mental dos professores. Esses conflitos podem surgir tanto entre colegas de trabalho quanto entre professores, gestores e alunos, criando um clima de tensão que impacta a motivação e o bem-estar docente. Pangestu, Ahlaini e Santika (2021) destacam que a gestão ineficaz desses conflitos por parte da liderança escolar tende a potencializar o estresse, minando a cooperação e o senso de pertencimento entre os profissionais.</w:t>
      </w:r>
    </w:p>
    <w:p w14:paraId="01184C03" w14:textId="0F0D471F" w:rsidR="007A545C" w:rsidRPr="008F15A8" w:rsidRDefault="007A545C" w:rsidP="00E80821">
      <w:pPr>
        <w:pStyle w:val="12"/>
        <w:rPr>
          <w:lang w:val="pt-BR" w:eastAsia="pt-BR"/>
        </w:rPr>
      </w:pPr>
      <w:r w:rsidRPr="008F15A8">
        <w:rPr>
          <w:lang w:val="pt-BR" w:eastAsia="pt-BR"/>
        </w:rPr>
        <w:t xml:space="preserve">Pesquisas apontam que a percepção de conflitos frequentes no ambiente </w:t>
      </w:r>
      <w:r w:rsidRPr="008F15A8">
        <w:rPr>
          <w:lang w:val="pt-BR" w:eastAsia="pt-BR"/>
        </w:rPr>
        <w:lastRenderedPageBreak/>
        <w:t xml:space="preserve">escolar está associada ao aumento de sintomas depressivos e ansiosos. He </w:t>
      </w:r>
      <w:r w:rsidR="00C13152" w:rsidRPr="00C13152">
        <w:rPr>
          <w:i/>
          <w:lang w:val="pt-BR" w:eastAsia="pt-BR"/>
        </w:rPr>
        <w:t>et al</w:t>
      </w:r>
      <w:r w:rsidRPr="008F15A8">
        <w:rPr>
          <w:lang w:val="pt-BR" w:eastAsia="pt-BR"/>
        </w:rPr>
        <w:t>. (2019), ao analisarem estudantes chineses, verificaram que a falta de conexão escolar e a presença de conflitos interpessoais elevam os índices de sofrimento psicológico. Embora o estudo seja voltado para discentes, os resultados podem ser estendidos aos docentes, pois também enfrentam situações de hostilidade e falta de apoio em suas relações profissionais. Essa vulnerabilidade acentua o desgaste emocional no contexto educacional.</w:t>
      </w:r>
    </w:p>
    <w:p w14:paraId="1C28B71B" w14:textId="1CFBC8B6" w:rsidR="007A545C" w:rsidRPr="008F15A8" w:rsidRDefault="007A545C" w:rsidP="00E80821">
      <w:pPr>
        <w:pStyle w:val="12"/>
        <w:rPr>
          <w:lang w:val="pt-BR" w:eastAsia="pt-BR"/>
        </w:rPr>
      </w:pPr>
      <w:r w:rsidRPr="008F15A8">
        <w:rPr>
          <w:lang w:val="pt-BR" w:eastAsia="pt-BR"/>
        </w:rPr>
        <w:t xml:space="preserve">Em momentos de crise, como a pandemia da COVID-19, os conflitos interpessoais intensificaram-se, seja pela pressão das novas exigências pedagógicas, seja pela ausência de diálogo efetivo entre gestores e professores. Miconi </w:t>
      </w:r>
      <w:r w:rsidR="00C13152" w:rsidRPr="00C13152">
        <w:rPr>
          <w:i/>
          <w:lang w:val="pt-BR" w:eastAsia="pt-BR"/>
        </w:rPr>
        <w:t>et al</w:t>
      </w:r>
      <w:r w:rsidRPr="008F15A8">
        <w:rPr>
          <w:lang w:val="pt-BR" w:eastAsia="pt-BR"/>
        </w:rPr>
        <w:t>. (2024) evidenciam que a sobrecarga de demandas e a falta de suporte institucional em escolas canadenses aumentaram o sofrimento psicológico docente. Conflitos emergiram não apenas em relação às condições de trabalho, mas também na definição de responsabilidades e na adaptação a formatos híbridos, revelando fragilidades na comunicação organizacional.</w:t>
      </w:r>
    </w:p>
    <w:p w14:paraId="61053A22" w14:textId="46F3B37D" w:rsidR="007A545C" w:rsidRPr="008F15A8" w:rsidRDefault="007A545C" w:rsidP="00E80821">
      <w:pPr>
        <w:pStyle w:val="12"/>
        <w:rPr>
          <w:lang w:val="pt-BR" w:eastAsia="pt-BR"/>
        </w:rPr>
      </w:pPr>
      <w:r w:rsidRPr="008F15A8">
        <w:rPr>
          <w:lang w:val="pt-BR" w:eastAsia="pt-BR"/>
        </w:rPr>
        <w:t xml:space="preserve">Os conflitos também se manifestam nas relações com alunos e podem assumir formas de indisciplina e até de violência. O estudo de Rus </w:t>
      </w:r>
      <w:r w:rsidR="00C13152" w:rsidRPr="00C13152">
        <w:rPr>
          <w:i/>
          <w:lang w:val="pt-BR" w:eastAsia="pt-BR"/>
        </w:rPr>
        <w:t>et al</w:t>
      </w:r>
      <w:r w:rsidRPr="008F15A8">
        <w:rPr>
          <w:lang w:val="pt-BR" w:eastAsia="pt-BR"/>
        </w:rPr>
        <w:t>. (2024) mostra que fatores preditores de comportamentos de bullying em escolas romenas incluem contextos de baixa regulação emocional e relações interpessoais frágeis. Para os professores, lidar constantemente com situações de bullying entre estudantes gera estresse adicional, pois exige mediação e intervenção constantes, muitas vezes sem preparo ou suporte institucional adequado.</w:t>
      </w:r>
    </w:p>
    <w:p w14:paraId="20941FF4" w14:textId="77777777" w:rsidR="007A545C" w:rsidRPr="008F15A8" w:rsidRDefault="007A545C" w:rsidP="00E80821">
      <w:pPr>
        <w:pStyle w:val="12"/>
        <w:rPr>
          <w:lang w:val="pt-BR" w:eastAsia="pt-BR"/>
        </w:rPr>
      </w:pPr>
      <w:r w:rsidRPr="008F15A8">
        <w:rPr>
          <w:lang w:val="pt-BR" w:eastAsia="pt-BR"/>
        </w:rPr>
        <w:t>Nesse cenário, o desenvolvimento de competências socioemocionais e de liderança emerge como ferramenta essencial para lidar com conflitos. Macaday-Quioco (2024) aponta que a inteligência emocional no contexto educacional contribui para melhorar a comunicação e reduzir tensões. Professores e gestores que desenvolvem tais habilidades conseguem transformar conflitos em oportunidades de diálogo e cooperação, diminuindo os efeitos negativos sobre a saúde mental. Essa abordagem, além de prevenir o desgaste, fortalece vínculos interpessoais.</w:t>
      </w:r>
    </w:p>
    <w:p w14:paraId="6D9A9D84" w14:textId="77777777" w:rsidR="007A545C" w:rsidRPr="008F15A8" w:rsidRDefault="007A545C" w:rsidP="00E80821">
      <w:pPr>
        <w:pStyle w:val="12"/>
        <w:rPr>
          <w:lang w:val="pt-BR" w:eastAsia="pt-BR"/>
        </w:rPr>
      </w:pPr>
      <w:r w:rsidRPr="008F15A8">
        <w:rPr>
          <w:lang w:val="pt-BR" w:eastAsia="pt-BR"/>
        </w:rPr>
        <w:t xml:space="preserve">Estratégias inovadoras também vêm sendo exploradas para reduzir o impacto dos conflitos na vida escolar. Sappa e Barabasch (2019) defendem o uso do teatro-fórum como metodologia para estimular a resolução criativa de problemas e fortalecer a resiliência de professores em situações de tensão. Esse tipo de intervenção favorece o desenvolvimento da empatia e da escuta ativa, elementos fundamentais para reduzir </w:t>
      </w:r>
      <w:r w:rsidRPr="008F15A8">
        <w:rPr>
          <w:lang w:val="pt-BR" w:eastAsia="pt-BR"/>
        </w:rPr>
        <w:lastRenderedPageBreak/>
        <w:t>desentendimentos e promover um ambiente mais colaborativo.</w:t>
      </w:r>
    </w:p>
    <w:p w14:paraId="3A281F66" w14:textId="77777777" w:rsidR="007A545C" w:rsidRPr="008F15A8" w:rsidRDefault="007A545C" w:rsidP="00E80821">
      <w:pPr>
        <w:pStyle w:val="12"/>
        <w:rPr>
          <w:lang w:val="pt-BR" w:eastAsia="pt-BR"/>
        </w:rPr>
      </w:pPr>
      <w:r w:rsidRPr="008F15A8">
        <w:rPr>
          <w:lang w:val="pt-BR" w:eastAsia="pt-BR"/>
        </w:rPr>
        <w:t>As condições estruturais precárias e a falta de recursos pedagógicos adequados constituem um dos maiores desafios para a prática docente e estão diretamente associadas ao desgaste psicológico dos professores. A ausência de infraestrutura básica, como salas de aula equipadas, materiais didáticos suficientes e suporte tecnológico, gera frustração e limita o potencial pedagógico. Essa realidade compromete a motivação e aumenta a sensação de impotência diante das exigências institucionais, sobretudo em contextos onde se exige inovação sem oferecer meios para tal.</w:t>
      </w:r>
    </w:p>
    <w:p w14:paraId="30495ABB" w14:textId="77777777" w:rsidR="007A545C" w:rsidRPr="008F15A8" w:rsidRDefault="007A545C" w:rsidP="00E80821">
      <w:pPr>
        <w:pStyle w:val="12"/>
        <w:rPr>
          <w:lang w:val="pt-BR" w:eastAsia="pt-BR"/>
        </w:rPr>
      </w:pPr>
      <w:r w:rsidRPr="008F15A8">
        <w:rPr>
          <w:lang w:val="pt-BR" w:eastAsia="pt-BR"/>
        </w:rPr>
        <w:t>Durante a pandemia de COVID-19, a desigualdade estrutural tornou-se ainda mais evidente. Sahu (2020) destaca que o fechamento das instituições de ensino revelou fragilidades no acesso a tecnologias digitais e plataformas de ensino remoto, impactando tanto professores quanto alunos. Muitos docentes se viram obrigados a trabalhar em condições improvisadas, sem preparo técnico e sem infraestrutura mínima. Essa situação gerou estresse adicional, pois ampliou a discrepância entre as expectativas pedagógicas e os recursos disponíveis.</w:t>
      </w:r>
    </w:p>
    <w:p w14:paraId="092A8723" w14:textId="558D9082" w:rsidR="007A545C" w:rsidRPr="008F15A8" w:rsidRDefault="007A545C" w:rsidP="00E80821">
      <w:pPr>
        <w:pStyle w:val="12"/>
        <w:rPr>
          <w:lang w:val="pt-BR" w:eastAsia="pt-BR"/>
        </w:rPr>
      </w:pPr>
      <w:r w:rsidRPr="008F15A8">
        <w:rPr>
          <w:lang w:val="pt-BR" w:eastAsia="pt-BR"/>
        </w:rPr>
        <w:t xml:space="preserve">A limitação estrutural também se relaciona ao impacto da liderança educacional no enfrentamento de crises. Asamoah </w:t>
      </w:r>
      <w:r w:rsidR="00C13152" w:rsidRPr="00C13152">
        <w:rPr>
          <w:i/>
          <w:lang w:val="pt-BR" w:eastAsia="pt-BR"/>
        </w:rPr>
        <w:t>et al</w:t>
      </w:r>
      <w:r w:rsidRPr="008F15A8">
        <w:rPr>
          <w:lang w:val="pt-BR" w:eastAsia="pt-BR"/>
        </w:rPr>
        <w:t>. (2025) ressaltam que falhas na gestão escolar durante a pandemia dificultaram a implementação de estratégias eficazes de ensino on-line. A ausência de diretrizes claras, combinada com a falta de investimentos em infraestrutura digital, sobrecarregou os professores, que precisaram arcar individualmente com custos e responsabilidades adicionais. Esse cenário ampliou o sentimento de desvalorização profissional.</w:t>
      </w:r>
    </w:p>
    <w:p w14:paraId="3F8EFCF7" w14:textId="77777777" w:rsidR="007A545C" w:rsidRPr="008F15A8" w:rsidRDefault="007A545C" w:rsidP="00E80821">
      <w:pPr>
        <w:pStyle w:val="12"/>
        <w:rPr>
          <w:lang w:val="pt-BR" w:eastAsia="pt-BR"/>
        </w:rPr>
      </w:pPr>
      <w:r w:rsidRPr="008F15A8">
        <w:rPr>
          <w:lang w:val="pt-BR" w:eastAsia="pt-BR"/>
        </w:rPr>
        <w:t>Os efeitos psicológicos da carência de recursos não se restringem ao período pandêmico, mas refletem uma condição histórica em muitos sistemas educacionais. Professores que atuam em escolas sem materiais didáticos adequados ou com prédios em más condições enfrentam maior sobrecarga emocional, pois precisam encontrar alternativas criativas para manter a qualidade do ensino. Esse esforço extra, muitas vezes não reconhecido, intensifica o risco de burnout e reduz a satisfação profissional.</w:t>
      </w:r>
    </w:p>
    <w:p w14:paraId="6B8B72DC" w14:textId="61C2B045" w:rsidR="007A545C" w:rsidRPr="008F15A8" w:rsidRDefault="007A545C" w:rsidP="00E80821">
      <w:pPr>
        <w:pStyle w:val="12"/>
        <w:rPr>
          <w:lang w:val="pt-BR" w:eastAsia="pt-BR"/>
        </w:rPr>
      </w:pPr>
      <w:r w:rsidRPr="008F15A8">
        <w:rPr>
          <w:lang w:val="pt-BR" w:eastAsia="pt-BR"/>
        </w:rPr>
        <w:t xml:space="preserve">Além disso, a precariedade estrutural interfere diretamente no processo de ensino-aprendizagem. A falta de recursos compromete o engajamento dos estudantes e gera maior indisciplina, o que aumenta a pressão sobre o professor. Essa relação de causa e efeito amplia o desgaste mental, pois o docente passa a carregar a </w:t>
      </w:r>
      <w:r w:rsidRPr="008F15A8">
        <w:rPr>
          <w:lang w:val="pt-BR" w:eastAsia="pt-BR"/>
        </w:rPr>
        <w:lastRenderedPageBreak/>
        <w:t xml:space="preserve">responsabilidade pelo baixo rendimento discente, mesmo em condições adversas. Como evidenciam Sahu (2020) e Asamoah </w:t>
      </w:r>
      <w:r w:rsidR="00C13152" w:rsidRPr="00C13152">
        <w:rPr>
          <w:i/>
          <w:lang w:val="pt-BR" w:eastAsia="pt-BR"/>
        </w:rPr>
        <w:t>et al</w:t>
      </w:r>
      <w:r w:rsidRPr="008F15A8">
        <w:rPr>
          <w:lang w:val="pt-BR" w:eastAsia="pt-BR"/>
        </w:rPr>
        <w:t>. (2025), a ausência de políticas consistentes de suporte institucional intensifica essa vulnerabilidade.</w:t>
      </w:r>
    </w:p>
    <w:p w14:paraId="5FC247AC" w14:textId="77777777" w:rsidR="007A545C" w:rsidRPr="008F15A8" w:rsidRDefault="007A545C" w:rsidP="00E80821">
      <w:pPr>
        <w:pStyle w:val="12"/>
        <w:rPr>
          <w:lang w:val="pt-BR" w:eastAsia="pt-BR"/>
        </w:rPr>
      </w:pPr>
      <w:r w:rsidRPr="008F15A8">
        <w:rPr>
          <w:lang w:val="pt-BR" w:eastAsia="pt-BR"/>
        </w:rPr>
        <w:t>Nesse sentido, o bem-estar docente depende de ações estruturais que transcendam a responsabilidade individual. Investimentos em infraestrutura, formação continuada em tecnologias digitais e suporte institucional são fundamentais para reduzir a distância entre exigências pedagógicas e meios de execução. Sem tais medidas, perpetua-se um ciclo de sobrecarga em que professores assumem funções que caberiam às instituições, aumentando o risco de adoecimento mental.</w:t>
      </w:r>
    </w:p>
    <w:p w14:paraId="3F965447" w14:textId="77777777" w:rsidR="007A545C" w:rsidRPr="008F15A8" w:rsidRDefault="007A545C" w:rsidP="00E80821">
      <w:pPr>
        <w:pStyle w:val="12"/>
        <w:rPr>
          <w:lang w:val="pt-BR" w:eastAsia="pt-BR"/>
        </w:rPr>
      </w:pPr>
      <w:r w:rsidRPr="008F15A8">
        <w:rPr>
          <w:lang w:val="pt-BR" w:eastAsia="pt-BR"/>
        </w:rPr>
        <w:t>O acúmulo de tarefas administrativas e burocráticas representa um dos principais fatores de desgaste psicológico dos professores, pois desvia tempo e energia que deveriam ser direcionados ao planejamento e à prática pedagógica. Em muitos contextos, os docentes são obrigados a cumprir funções que extrapolam seu papel formativo, como preenchimento de relatórios, gestão de dados escolares e atendimento a demandas externas. Ariffin, Bush e Nordin (2018) destacam que, em países como a Malásia, a definição de responsabilidades de professores “excelentes” inclui não apenas a docência, mas também atividades administrativas que ampliam a sobrecarga laboral e impactam o bem-estar.</w:t>
      </w:r>
    </w:p>
    <w:p w14:paraId="052BF533" w14:textId="77777777" w:rsidR="007A545C" w:rsidRPr="008F15A8" w:rsidRDefault="007A545C" w:rsidP="00E80821">
      <w:pPr>
        <w:pStyle w:val="12"/>
        <w:rPr>
          <w:lang w:val="pt-BR" w:eastAsia="pt-BR"/>
        </w:rPr>
      </w:pPr>
      <w:r w:rsidRPr="008F15A8">
        <w:rPr>
          <w:lang w:val="pt-BR" w:eastAsia="pt-BR"/>
        </w:rPr>
        <w:t>Essa ampliação de funções administrativas, quando não acompanhada de suporte institucional adequado, gera tensões nas relações internas das escolas. Mukazhanova e Nagymzhanova (2024) identificaram que os conflitos entre professores e gestores frequentemente têm origem na percepção de que as demandas burocráticas são excessivas e desproporcionais às condições de trabalho. Para os docentes, a cobrança constante de relatórios e indicadores enfraquece a autonomia pedagógica e contribui para um clima organizacional de insatisfação e desgaste emocional.</w:t>
      </w:r>
    </w:p>
    <w:p w14:paraId="026A4AFF" w14:textId="77777777" w:rsidR="007A545C" w:rsidRPr="008F15A8" w:rsidRDefault="007A545C" w:rsidP="00E80821">
      <w:pPr>
        <w:pStyle w:val="12"/>
        <w:rPr>
          <w:lang w:val="pt-BR" w:eastAsia="pt-BR"/>
        </w:rPr>
      </w:pPr>
      <w:r w:rsidRPr="008F15A8">
        <w:rPr>
          <w:lang w:val="pt-BR" w:eastAsia="pt-BR"/>
        </w:rPr>
        <w:t>O avanço da tecnologia no âmbito educacional também trouxe novas formas de burocratização. Embora as ferramentas digitais possam otimizar processos, muitas vezes elas se convertem em exigências adicionais de controle e monitoramento. Nininger e Abbott (2021) observaram que sistemas de garantia de qualidade on-line geraram preocupações entre docentes universitários, pois aumentaram a pressão por conformidade e reduziram a satisfação profissional. Esse fenômeno revela que a digitalização, se mal gerida, intensifica a carga burocrática em vez de aliviá-la.</w:t>
      </w:r>
    </w:p>
    <w:p w14:paraId="42CBC538" w14:textId="77777777" w:rsidR="007A545C" w:rsidRPr="008F15A8" w:rsidRDefault="007A545C" w:rsidP="00E80821">
      <w:pPr>
        <w:pStyle w:val="12"/>
        <w:rPr>
          <w:lang w:val="pt-BR" w:eastAsia="pt-BR"/>
        </w:rPr>
      </w:pPr>
      <w:r w:rsidRPr="008F15A8">
        <w:rPr>
          <w:lang w:val="pt-BR" w:eastAsia="pt-BR"/>
        </w:rPr>
        <w:t xml:space="preserve">As consequências dessa sobrecarga vão além do estresse cotidiano: elas </w:t>
      </w:r>
      <w:r w:rsidRPr="008F15A8">
        <w:rPr>
          <w:lang w:val="pt-BR" w:eastAsia="pt-BR"/>
        </w:rPr>
        <w:lastRenderedPageBreak/>
        <w:t>repercutem na motivação e na permanência dos professores na profissão. Onyefulu, Madalińska-Michalak e Bavlı (2022) apontam que a percepção de excesso de exigências não relacionadas à prática pedagógica está entre os fatores que reduzem a atratividade e a retenção na carreira docente em diferentes países. Esse processo contribui para a evasão profissional, ao mesmo tempo em que compromete a qualidade da educação, já que professores desmotivados tendem a apresentar menor engajamento com os alunos.</w:t>
      </w:r>
    </w:p>
    <w:p w14:paraId="1E59D21C" w14:textId="77777777" w:rsidR="007A545C" w:rsidRPr="008F15A8" w:rsidRDefault="007A545C" w:rsidP="00E80821">
      <w:pPr>
        <w:pStyle w:val="12"/>
        <w:rPr>
          <w:lang w:val="pt-BR" w:eastAsia="pt-BR"/>
        </w:rPr>
      </w:pPr>
      <w:r w:rsidRPr="008F15A8">
        <w:rPr>
          <w:lang w:val="pt-BR" w:eastAsia="pt-BR"/>
        </w:rPr>
        <w:t>Nesse contexto, o fortalecimento da liderança docente aparece como um fator protetivo contra os impactos da burocracia. Wenner e Campbell (2016) argumentam que, quando os professores assumem papéis de liderança pedagógica, conseguem redefinir sua atuação e negociar melhor as demandas administrativas. Essa autonomia contribui para reduzir o sentimento de opressão burocrática e aumentar o senso de propósito no trabalho. A liderança, portanto, funciona como estratégia de enfrentamento diante das pressões externas.</w:t>
      </w:r>
    </w:p>
    <w:p w14:paraId="76DE41B4" w14:textId="77777777" w:rsidR="007A545C" w:rsidRPr="008F15A8" w:rsidRDefault="007A545C" w:rsidP="00E80821">
      <w:pPr>
        <w:pStyle w:val="12"/>
        <w:rPr>
          <w:lang w:val="pt-BR" w:eastAsia="pt-BR"/>
        </w:rPr>
      </w:pPr>
      <w:r w:rsidRPr="008F15A8">
        <w:rPr>
          <w:lang w:val="pt-BR" w:eastAsia="pt-BR"/>
        </w:rPr>
        <w:t>Outro aspecto relevante é que as exigências burocráticas excessivas não apenas comprometem o equilíbrio mental dos professores, mas também reduzem a qualidade do ensino. Quando o tempo é consumido por tarefas administrativas, sobra menos espaço para o desenvolvimento de práticas criativas e para a dedicação ao processo de ensino-aprendizagem. Assim, a burocratização da carreira docente se apresenta como um obstáculo não apenas ao bem-estar profissional, mas ao próprio desempenho do sistema educacional.</w:t>
      </w:r>
    </w:p>
    <w:p w14:paraId="17C7B27E" w14:textId="7F2F5D13" w:rsidR="00F45082" w:rsidRPr="008F15A8" w:rsidRDefault="00F45082" w:rsidP="00E80821">
      <w:pPr>
        <w:pStyle w:val="12"/>
        <w:rPr>
          <w:lang w:val="pt-BR" w:eastAsia="pt-BR"/>
        </w:rPr>
      </w:pPr>
    </w:p>
    <w:p w14:paraId="631746F7" w14:textId="103E45E4" w:rsidR="00F45082" w:rsidRPr="008F15A8" w:rsidRDefault="00F45082" w:rsidP="00C13152">
      <w:pPr>
        <w:pStyle w:val="Ttulo2"/>
        <w:spacing w:line="360" w:lineRule="auto"/>
        <w:ind w:left="0"/>
        <w:jc w:val="left"/>
        <w:rPr>
          <w:lang w:val="pt-BR" w:eastAsia="pt-BR"/>
        </w:rPr>
      </w:pPr>
      <w:bookmarkStart w:id="16" w:name="_Toc210894969"/>
      <w:r w:rsidRPr="008F15A8">
        <w:rPr>
          <w:lang w:val="pt-BR" w:eastAsia="pt-BR"/>
        </w:rPr>
        <w:t>2.3 Sintomas de adoecimento psíquico mais recorrentes entre docentes</w:t>
      </w:r>
      <w:bookmarkEnd w:id="16"/>
    </w:p>
    <w:p w14:paraId="4BE16C79" w14:textId="77777777" w:rsidR="007A545C" w:rsidRPr="008F15A8" w:rsidRDefault="007A545C" w:rsidP="00E80821">
      <w:pPr>
        <w:pStyle w:val="12"/>
        <w:rPr>
          <w:lang w:val="pt-BR" w:eastAsia="pt-BR"/>
        </w:rPr>
      </w:pPr>
    </w:p>
    <w:p w14:paraId="616B059A" w14:textId="32824AB4" w:rsidR="00E80821" w:rsidRDefault="00E80821" w:rsidP="00E80821">
      <w:pPr>
        <w:pStyle w:val="12"/>
        <w:rPr>
          <w:lang w:eastAsia="pt-BR"/>
        </w:rPr>
      </w:pPr>
      <w:r w:rsidRPr="00E80821">
        <w:rPr>
          <w:lang w:eastAsia="pt-BR"/>
        </w:rPr>
        <w:t xml:space="preserve">Entre os sintomas mais recorrentes de adoecimento psíquico em professores, destacam-se o estresse crônico, a síndrome de burnout, a ansiedade e a depressão </w:t>
      </w:r>
      <w:r w:rsidRPr="00C84713">
        <w:rPr>
          <w:lang w:eastAsia="pt-BR"/>
        </w:rPr>
        <w:t xml:space="preserve">(Agyapong </w:t>
      </w:r>
      <w:r w:rsidR="00C13152" w:rsidRPr="00C84713">
        <w:rPr>
          <w:i/>
          <w:lang w:eastAsia="pt-BR"/>
        </w:rPr>
        <w:t>et al</w:t>
      </w:r>
      <w:r w:rsidRPr="00C84713">
        <w:rPr>
          <w:lang w:eastAsia="pt-BR"/>
        </w:rPr>
        <w:t>., 2022).</w:t>
      </w:r>
      <w:r w:rsidRPr="00E80821">
        <w:rPr>
          <w:lang w:eastAsia="pt-BR"/>
        </w:rPr>
        <w:t xml:space="preserve"> O esgotamento mental resulta de uma combinação de sobrecarga de trabalho, exigências emocionais e falta de reconhecimento. Segundo Pêgo e Pêgo (2016), a síndrome de burnout se caracteriza por exaustão emocional, despersonalização e redução da realização profissional, sendo amplamente observada em profissionais submetidos a pressão contínua, como os docentes. Esse quadro afeta diretamente a motivação e a qualidade da prática pedagógica.</w:t>
      </w:r>
    </w:p>
    <w:p w14:paraId="0A1D88D0" w14:textId="59CB2583" w:rsidR="00C14B27" w:rsidRPr="008F15A8" w:rsidRDefault="00C14B27" w:rsidP="00E80821">
      <w:pPr>
        <w:pStyle w:val="12"/>
        <w:rPr>
          <w:lang w:val="pt-BR" w:eastAsia="pt-BR"/>
        </w:rPr>
      </w:pPr>
      <w:r w:rsidRPr="008F15A8">
        <w:rPr>
          <w:lang w:val="pt-BR" w:eastAsia="pt-BR"/>
        </w:rPr>
        <w:t xml:space="preserve">O burnout em professores segue um padrão semelhante ao identificado em outras profissões de alta demanda, como a enfermagem. Resende, Lourenzo e </w:t>
      </w:r>
      <w:r w:rsidRPr="008F15A8">
        <w:rPr>
          <w:lang w:val="pt-BR" w:eastAsia="pt-BR"/>
        </w:rPr>
        <w:lastRenderedPageBreak/>
        <w:t>Amorim (2021) observaram que o esgotamento em enfermeiros está relacionado à intensificação das jornadas e à falta de suporte institucional. Essa realidade pode ser comparada ao contexto escolar, no qual os professores enfrentam condições precárias e exigências crescentes. Assim como em ambientes de saúde, o trabalho docente apresenta forte risco para o desenvolvimento de transtornos ligados ao estresse ocupacional.</w:t>
      </w:r>
    </w:p>
    <w:p w14:paraId="2A164FE2" w14:textId="6EBF61C5" w:rsidR="00C14B27" w:rsidRPr="008F15A8" w:rsidRDefault="00C14B27" w:rsidP="00E80821">
      <w:pPr>
        <w:pStyle w:val="12"/>
        <w:rPr>
          <w:lang w:val="pt-BR" w:eastAsia="pt-BR"/>
        </w:rPr>
      </w:pPr>
      <w:r w:rsidRPr="008F15A8">
        <w:rPr>
          <w:lang w:val="pt-BR" w:eastAsia="pt-BR"/>
        </w:rPr>
        <w:t xml:space="preserve">A pandemia de COVID-19 intensificou esse cenário. Freitas </w:t>
      </w:r>
      <w:r w:rsidR="00C13152" w:rsidRPr="00C13152">
        <w:rPr>
          <w:i/>
          <w:lang w:val="pt-BR" w:eastAsia="pt-BR"/>
        </w:rPr>
        <w:t>et al</w:t>
      </w:r>
      <w:r w:rsidRPr="008F15A8">
        <w:rPr>
          <w:lang w:val="pt-BR" w:eastAsia="pt-BR"/>
        </w:rPr>
        <w:t>. (2021), ao analisarem técnicos de enfermagem em unidades de terapia intensiva, evidenciaram que a sobrecarga emocional e a pressão constante elevaram os índices de burnout. Embora em outra categoria profissional, os achados são aplicáveis à docência, pois o período pandêmico trouxe aumento da carga laboral, adaptação forçada a ambientes digitais e responsabilidades ampliadas, que intensificaram os sintomas de exaustão mental entre os professores.</w:t>
      </w:r>
    </w:p>
    <w:p w14:paraId="35034D0C" w14:textId="77777777" w:rsidR="00C14B27" w:rsidRPr="008F15A8" w:rsidRDefault="00C14B27" w:rsidP="00E80821">
      <w:pPr>
        <w:pStyle w:val="12"/>
        <w:rPr>
          <w:lang w:val="pt-BR" w:eastAsia="pt-BR"/>
        </w:rPr>
      </w:pPr>
      <w:r w:rsidRPr="008F15A8">
        <w:rPr>
          <w:lang w:val="pt-BR" w:eastAsia="pt-BR"/>
        </w:rPr>
        <w:t>Outro aspecto relevante é a tendência de medicalização e psicologização do sofrimento docente. Vieira e Russo (2019) destacam que o burnout e o estresse têm sido frequentemente tratados como problemas individuais, desconsiderando os determinantes sociais e organizacionais. Essa abordagem reduz a complexidade do adoecimento psíquico e invisibiliza as condições estruturais que favorecem sua ocorrência. No caso dos professores, isso significa culpabilizar o indivíduo, em vez de reconhecer o papel do sistema educacional na geração de sofrimento.</w:t>
      </w:r>
    </w:p>
    <w:p w14:paraId="5AAF84D3" w14:textId="77777777" w:rsidR="00C14B27" w:rsidRPr="008F15A8" w:rsidRDefault="00C14B27" w:rsidP="00E80821">
      <w:pPr>
        <w:pStyle w:val="12"/>
        <w:rPr>
          <w:lang w:val="pt-BR" w:eastAsia="pt-BR"/>
        </w:rPr>
      </w:pPr>
      <w:r w:rsidRPr="008F15A8">
        <w:rPr>
          <w:lang w:val="pt-BR" w:eastAsia="pt-BR"/>
        </w:rPr>
        <w:t>Os sintomas recorrentes incluem insônia, irritabilidade, perda de concentração e sensação de ineficácia, que comprometem tanto a vida pessoal quanto a prática pedagógica. Pêgo e Pêgo (2016) reforçam que a síndrome de burnout é um fenômeno ocupacional e coletivo, não apenas individual. Sua presença entre docentes revela o impacto direto das condições de trabalho sobre a saúde mental. Além disso, a cronicidade desses sintomas favorece quadros de depressão e abandono da profissão, fenômenos cada vez mais relatados no contexto educacional.</w:t>
      </w:r>
    </w:p>
    <w:p w14:paraId="1A8766B9" w14:textId="77777777" w:rsidR="00C14B27" w:rsidRPr="008F15A8" w:rsidRDefault="00C14B27" w:rsidP="00E80821">
      <w:pPr>
        <w:pStyle w:val="12"/>
        <w:rPr>
          <w:lang w:val="pt-BR" w:eastAsia="pt-BR"/>
        </w:rPr>
      </w:pPr>
      <w:r w:rsidRPr="008F15A8">
        <w:rPr>
          <w:lang w:val="pt-BR" w:eastAsia="pt-BR"/>
        </w:rPr>
        <w:t>As comparações com outras categorias profissionais, como os estudos de Resende, Lourenzo e Amorim (2021), reforçam que o esgotamento é um fenômeno transversal a áreas de cuidado e ensino, ambas marcadas por forte envolvimento emocional e baixa valorização social. Essa interseção evidencia que os professores compartilham vulnerabilidades semelhantes a outros trabalhadores que lidam diretamente com demandas humanas intensas.</w:t>
      </w:r>
    </w:p>
    <w:p w14:paraId="658A7143" w14:textId="77777777" w:rsidR="00C14B27" w:rsidRPr="008F15A8" w:rsidRDefault="00C14B27" w:rsidP="00E80821">
      <w:pPr>
        <w:pStyle w:val="12"/>
        <w:rPr>
          <w:lang w:val="pt-BR" w:eastAsia="pt-BR"/>
        </w:rPr>
      </w:pPr>
      <w:r w:rsidRPr="008F15A8">
        <w:rPr>
          <w:lang w:val="pt-BR" w:eastAsia="pt-BR"/>
        </w:rPr>
        <w:t xml:space="preserve">A ansiedade no contexto escolar não afeta apenas os estudantes, mas também </w:t>
      </w:r>
      <w:r w:rsidRPr="008F15A8">
        <w:rPr>
          <w:lang w:val="pt-BR" w:eastAsia="pt-BR"/>
        </w:rPr>
        <w:lastRenderedPageBreak/>
        <w:t>os professores, que precisam lidar com suas próprias emoções e com as manifestações ansiosas dos alunos. Esse quadro influencia diretamente a dinâmica pedagógica, uma vez que o clima da sala de aula se torna mais tenso e exige maior habilidade emocional do docente. Muniz e Fernandes (2016) identificaram que a ansiedade escolar está relacionada ao autoconceito dos alunos, revelando como o ambiente educacional pode ser um gatilho para sentimentos de insegurança. Para os professores, lidar com esses episódios de ansiedade discente exige preparo e resiliência, sob risco de aumentar o próprio desgaste psicológico.</w:t>
      </w:r>
    </w:p>
    <w:p w14:paraId="0B27FCA5" w14:textId="653288CB" w:rsidR="00C14B27" w:rsidRPr="008F15A8" w:rsidRDefault="00C14B27" w:rsidP="00E80821">
      <w:pPr>
        <w:pStyle w:val="12"/>
        <w:rPr>
          <w:lang w:val="pt-BR" w:eastAsia="pt-BR"/>
        </w:rPr>
      </w:pPr>
      <w:r w:rsidRPr="008F15A8">
        <w:rPr>
          <w:lang w:val="pt-BR" w:eastAsia="pt-BR"/>
        </w:rPr>
        <w:t xml:space="preserve">Entre os principais fatores que favorecem o surgimento da ansiedade escolar estão a pressão por desempenho, as dificuldades de aprendizagem e a convivência conflituosa entre pares. Frescura </w:t>
      </w:r>
      <w:r w:rsidR="00C13152" w:rsidRPr="00C13152">
        <w:rPr>
          <w:i/>
          <w:lang w:val="pt-BR" w:eastAsia="pt-BR"/>
        </w:rPr>
        <w:t>et al</w:t>
      </w:r>
      <w:r w:rsidRPr="008F15A8">
        <w:rPr>
          <w:lang w:val="pt-BR" w:eastAsia="pt-BR"/>
        </w:rPr>
        <w:t>. (2023), ao investigarem adolescentes de escolas públicas, observaram alta prevalência de sintomas ansiosos, associados a fatores sociais e acadêmicos. Essa realidade sobrecarrega os professores, que frequentemente assumem o papel de mediadores emocionais, acumulando funções além daquelas pedagógicas. Assim, a ansiedade discente se converte em um fator indireto de sofrimento docente.</w:t>
      </w:r>
    </w:p>
    <w:p w14:paraId="18140F99" w14:textId="77777777" w:rsidR="00C14B27" w:rsidRPr="008F15A8" w:rsidRDefault="00C14B27" w:rsidP="00E80821">
      <w:pPr>
        <w:pStyle w:val="12"/>
        <w:rPr>
          <w:lang w:val="pt-BR" w:eastAsia="pt-BR"/>
        </w:rPr>
      </w:pPr>
      <w:r w:rsidRPr="008F15A8">
        <w:rPr>
          <w:lang w:val="pt-BR" w:eastAsia="pt-BR"/>
        </w:rPr>
        <w:t>O bullying também está intimamente ligado à ansiedade no contexto escolar. Vestena, Danzmann e Jager (2022) evidenciam que vítimas de intimidação apresentam maior propensão a quadros ansiosos, o que interfere no desenvolvimento socioemocional. Para os professores, a presença recorrente de situações de bullying gera sobrecarga, pois demanda estratégias de enfrentamento e gestão de conflitos. A repetição desses episódios, somada à ausência de suporte institucional, intensifica o estresse docente.</w:t>
      </w:r>
    </w:p>
    <w:p w14:paraId="54A72943" w14:textId="77777777" w:rsidR="00C14B27" w:rsidRPr="008F15A8" w:rsidRDefault="00C14B27" w:rsidP="00E80821">
      <w:pPr>
        <w:pStyle w:val="12"/>
        <w:rPr>
          <w:lang w:val="pt-BR" w:eastAsia="pt-BR"/>
        </w:rPr>
      </w:pPr>
      <w:r w:rsidRPr="008F15A8">
        <w:rPr>
          <w:lang w:val="pt-BR" w:eastAsia="pt-BR"/>
        </w:rPr>
        <w:t>Outro ponto a ser considerado é a influência da pandemia de COVID-19 sobre os níveis de ansiedade escolar. Vasconcelos e Martins (2022) apontam que estudantes da Educação de Jovens e Adultos (EJA) apresentaram agravamento dos sintomas ansiosos durante a crise sanitária, devido ao isolamento social e às dificuldades de adaptação ao ensino remoto. Esse cenário exigiu maior esforço dos professores, que precisaram conciliar novas metodologias com o apoio emocional aos alunos, ampliando a carga de trabalho e favorecendo seu próprio adoecimento psíquico.</w:t>
      </w:r>
    </w:p>
    <w:p w14:paraId="2BE6D086" w14:textId="77777777" w:rsidR="00C14B27" w:rsidRPr="008F15A8" w:rsidRDefault="00C14B27" w:rsidP="00E80821">
      <w:pPr>
        <w:pStyle w:val="12"/>
        <w:rPr>
          <w:lang w:val="pt-BR" w:eastAsia="pt-BR"/>
        </w:rPr>
      </w:pPr>
      <w:r w:rsidRPr="008F15A8">
        <w:rPr>
          <w:lang w:val="pt-BR" w:eastAsia="pt-BR"/>
        </w:rPr>
        <w:t xml:space="preserve">A psicologia escolar tem se mostrado essencial para lidar com a ansiedade infantil e juvenil. Fialhe e Rodrigues (2023) defendem a importância de intervenções psicológicas no ambiente escolar, ressaltando que o suporte especializado contribui </w:t>
      </w:r>
      <w:r w:rsidRPr="008F15A8">
        <w:rPr>
          <w:lang w:val="pt-BR" w:eastAsia="pt-BR"/>
        </w:rPr>
        <w:lastRenderedPageBreak/>
        <w:t>para reduzir sintomas ansiosos e melhorar a convivência. No entanto, na ausência desse apoio, o professor se vê obrigado a desempenhar funções de psicólogo, o que gera sobrecarga emocional e compromete sua saúde mental. Isso evidencia a necessidade de equipes multiprofissionais no espaço escolar.</w:t>
      </w:r>
    </w:p>
    <w:p w14:paraId="50DA6EB5" w14:textId="25C01088" w:rsidR="00C14B27" w:rsidRPr="008F15A8" w:rsidRDefault="00C14B27" w:rsidP="00E80821">
      <w:pPr>
        <w:pStyle w:val="12"/>
        <w:rPr>
          <w:lang w:val="pt-BR" w:eastAsia="pt-BR"/>
        </w:rPr>
      </w:pPr>
      <w:r w:rsidRPr="008F15A8">
        <w:rPr>
          <w:lang w:val="pt-BR" w:eastAsia="pt-BR"/>
        </w:rPr>
        <w:t xml:space="preserve">Além das intervenções psicológicas, práticas integrativas de cuidado também têm se mostrado eficazes no controle da ansiedade. Fernandes </w:t>
      </w:r>
      <w:r w:rsidR="00C13152" w:rsidRPr="00C13152">
        <w:rPr>
          <w:i/>
          <w:lang w:val="pt-BR" w:eastAsia="pt-BR"/>
        </w:rPr>
        <w:t>et al</w:t>
      </w:r>
      <w:r w:rsidRPr="008F15A8">
        <w:rPr>
          <w:lang w:val="pt-BR" w:eastAsia="pt-BR"/>
        </w:rPr>
        <w:t>. (2021) analisaram a inserção do Kundalini Yoga em programas escolares e observaram benefícios significativos na redução do estresse e no fortalecimento do bem-estar. Para os professores, participar ou conduzir atividades desse tipo pode ser uma ferramenta de prevenção contra o adoecimento, ajudando a equilibrar emoções e melhorar o clima em sala de aula.</w:t>
      </w:r>
    </w:p>
    <w:p w14:paraId="739069AE" w14:textId="4051520E" w:rsidR="00C14B27" w:rsidRPr="008F15A8" w:rsidRDefault="00C14B27" w:rsidP="00E80821">
      <w:pPr>
        <w:pStyle w:val="12"/>
        <w:rPr>
          <w:lang w:val="pt-BR" w:eastAsia="pt-BR"/>
        </w:rPr>
      </w:pPr>
      <w:r w:rsidRPr="008F15A8">
        <w:rPr>
          <w:lang w:val="pt-BR" w:eastAsia="pt-BR"/>
        </w:rPr>
        <w:t xml:space="preserve">A síndrome de burnout é um fenômeno ocupacional que se desenvolve de forma progressiva e está diretamente associada às condições de trabalho. Entre docentes, ela tem sido amplamente estudada como um dos principais fatores de adoecimento psíquico. Batista </w:t>
      </w:r>
      <w:r w:rsidR="00C13152" w:rsidRPr="00C13152">
        <w:rPr>
          <w:i/>
          <w:lang w:val="pt-BR" w:eastAsia="pt-BR"/>
        </w:rPr>
        <w:t>et al</w:t>
      </w:r>
      <w:r w:rsidRPr="008F15A8">
        <w:rPr>
          <w:lang w:val="pt-BR" w:eastAsia="pt-BR"/>
        </w:rPr>
        <w:t>. (2010), em pesquisa com professores de escolas municipais em João Pessoa (PB), identificaram alta prevalência de burnout, relacionando-a a variáveis sociodemográficas e laborais. Esse estudo evidencia que a exposição contínua a jornadas intensas e à falta de reconhecimento contribui para o início das fases iniciais da síndrome, marcadas pelo cansaço físico e emocional.</w:t>
      </w:r>
    </w:p>
    <w:p w14:paraId="06333EF0" w14:textId="607D2FCB" w:rsidR="00C14B27" w:rsidRPr="008F15A8" w:rsidRDefault="00C14B27" w:rsidP="00E80821">
      <w:pPr>
        <w:pStyle w:val="12"/>
        <w:rPr>
          <w:lang w:val="pt-BR" w:eastAsia="pt-BR"/>
        </w:rPr>
      </w:pPr>
      <w:r w:rsidRPr="008F15A8">
        <w:rPr>
          <w:lang w:val="pt-BR" w:eastAsia="pt-BR"/>
        </w:rPr>
        <w:t xml:space="preserve">Magalhães </w:t>
      </w:r>
      <w:r w:rsidR="00C13152" w:rsidRPr="00C13152">
        <w:rPr>
          <w:i/>
          <w:lang w:val="pt-BR" w:eastAsia="pt-BR"/>
        </w:rPr>
        <w:t>et al</w:t>
      </w:r>
      <w:r w:rsidRPr="008F15A8">
        <w:rPr>
          <w:lang w:val="pt-BR" w:eastAsia="pt-BR"/>
        </w:rPr>
        <w:t>. (2021) reforçam esses achados em uma investigação populacional com docentes da rede pública, destacando que fatores como sobrecarga de trabalho, baixa remuneração e ausência de apoio institucional elevam os riscos de evolução para estágios mais graves do burnout. Nessa progressão, os sintomas vão além da exaustão e incluem despersonalização — caracterizada por atitudes cínicas e distanciamento afetivo em relação aos alunos — e a redução da realização profissional. Tais fases comprometem não apenas a saúde do professor, mas também a qualidade do processo educativo.</w:t>
      </w:r>
    </w:p>
    <w:p w14:paraId="77022113" w14:textId="77777777" w:rsidR="00C14B27" w:rsidRPr="008F15A8" w:rsidRDefault="00C14B27" w:rsidP="00E80821">
      <w:pPr>
        <w:pStyle w:val="12"/>
        <w:rPr>
          <w:lang w:val="pt-BR" w:eastAsia="pt-BR"/>
        </w:rPr>
      </w:pPr>
      <w:r w:rsidRPr="008F15A8">
        <w:rPr>
          <w:lang w:val="pt-BR" w:eastAsia="pt-BR"/>
        </w:rPr>
        <w:t>A literatura sobre o tema indica que o burnout em professores segue um curso de agravamento contínuo quando não há intervenção. Dalcin e Carlotto (2018a), ao avaliarem os efeitos de uma intervenção voltada a professores, observaram que práticas de prevenção, como grupos de apoio e estratégias de manejo emocional, contribuíram para reduzir sintomas e interromper a evolução da síndrome. Isso mostra que, embora o burnout seja progressivo, ele pode ser mitigado com políticas institucionais de valorização e suporte.</w:t>
      </w:r>
    </w:p>
    <w:p w14:paraId="27BBD655" w14:textId="77777777" w:rsidR="00C14B27" w:rsidRPr="008F15A8" w:rsidRDefault="00C14B27" w:rsidP="00E80821">
      <w:pPr>
        <w:pStyle w:val="12"/>
        <w:rPr>
          <w:lang w:val="pt-BR" w:eastAsia="pt-BR"/>
        </w:rPr>
      </w:pPr>
      <w:r w:rsidRPr="008F15A8">
        <w:rPr>
          <w:lang w:val="pt-BR" w:eastAsia="pt-BR"/>
        </w:rPr>
        <w:lastRenderedPageBreak/>
        <w:t>Em outro estudo, Dalcin e Carlotto (2018b) propuseram uma agenda de pesquisa para aprofundar a compreensão do burnout docente no Brasil. Os autores destacaram a necessidade de considerar aspectos culturais, organizacionais e pedagógicos na análise da síndrome. Tal abordagem amplia o olhar sobre suas fases de evolução, ressaltando que elas não ocorrem de forma isolada, mas são influenciadas por fatores contextuais que modulam a experiência do adoecimento.</w:t>
      </w:r>
    </w:p>
    <w:p w14:paraId="6C1A3B3D" w14:textId="2569A06A" w:rsidR="00C14B27" w:rsidRPr="008F15A8" w:rsidRDefault="00C14B27" w:rsidP="00E80821">
      <w:pPr>
        <w:pStyle w:val="12"/>
        <w:rPr>
          <w:lang w:val="pt-BR" w:eastAsia="pt-BR"/>
        </w:rPr>
      </w:pPr>
      <w:r w:rsidRPr="008F15A8">
        <w:rPr>
          <w:lang w:val="pt-BR" w:eastAsia="pt-BR"/>
        </w:rPr>
        <w:t xml:space="preserve">O impacto da pandemia de COVID-19 também acelerou a evolução do burnout entre profissionais da educação. Silva </w:t>
      </w:r>
      <w:r w:rsidR="00C13152" w:rsidRPr="00C13152">
        <w:rPr>
          <w:i/>
          <w:lang w:val="pt-BR" w:eastAsia="pt-BR"/>
        </w:rPr>
        <w:t>et al</w:t>
      </w:r>
      <w:r w:rsidRPr="008F15A8">
        <w:rPr>
          <w:lang w:val="pt-BR" w:eastAsia="pt-BR"/>
        </w:rPr>
        <w:t>. (2022) relatam que as novas exigências de ensino remoto, aliadas ao medo de contágio e à insegurança institucional, aumentaram os casos de burnout em profissionais da saúde. De forma análoga, professores vivenciaram esse processo, com agravamento rápido das fases da síndrome devido à adaptação forçada a metodologias digitais e à ampliação das responsabilidades.</w:t>
      </w:r>
    </w:p>
    <w:p w14:paraId="455F947D" w14:textId="72C63C68" w:rsidR="00C14B27" w:rsidRPr="008F15A8" w:rsidRDefault="00C14B27" w:rsidP="00E80821">
      <w:pPr>
        <w:pStyle w:val="12"/>
        <w:rPr>
          <w:lang w:val="pt-BR" w:eastAsia="pt-BR"/>
        </w:rPr>
      </w:pPr>
      <w:r w:rsidRPr="008F15A8">
        <w:rPr>
          <w:lang w:val="pt-BR" w:eastAsia="pt-BR"/>
        </w:rPr>
        <w:t xml:space="preserve">Barbosa </w:t>
      </w:r>
      <w:r w:rsidR="00C13152" w:rsidRPr="00C13152">
        <w:rPr>
          <w:i/>
          <w:lang w:val="pt-BR" w:eastAsia="pt-BR"/>
        </w:rPr>
        <w:t>et al</w:t>
      </w:r>
      <w:r w:rsidRPr="008F15A8">
        <w:rPr>
          <w:lang w:val="pt-BR" w:eastAsia="pt-BR"/>
        </w:rPr>
        <w:t>. (2021) também identificaram que, em contextos de crise sanitária, a exposição prolongada a demandas emocionais e laborais extremas intensificou a exaustão emocional. Esse achado ajuda a compreender como momentos de crise podem acelerar a progressão do burnout, encurtando o intervalo entre suas fases de desenvolvimento. No caso dos docentes, isso significou uma evolução mais rápida para estágios de despersonalização e perda de realização profissional.</w:t>
      </w:r>
    </w:p>
    <w:p w14:paraId="2E9BC800" w14:textId="6E78B428" w:rsidR="00C14B27" w:rsidRPr="008F15A8" w:rsidRDefault="00C14B27" w:rsidP="00E80821">
      <w:pPr>
        <w:pStyle w:val="12"/>
        <w:rPr>
          <w:lang w:val="pt-BR" w:eastAsia="pt-BR"/>
        </w:rPr>
      </w:pPr>
      <w:r w:rsidRPr="008F15A8">
        <w:rPr>
          <w:lang w:val="pt-BR" w:eastAsia="pt-BR"/>
        </w:rPr>
        <w:t xml:space="preserve">A depressão é um dos transtornos psíquicos mais prevalentes entre professores e tem relação direta com a sobrecarga de trabalho, a falta de reconhecimento e as pressões institucionais. Galinari </w:t>
      </w:r>
      <w:r w:rsidR="00C13152" w:rsidRPr="00C13152">
        <w:rPr>
          <w:i/>
          <w:lang w:val="pt-BR" w:eastAsia="pt-BR"/>
        </w:rPr>
        <w:t>et al</w:t>
      </w:r>
      <w:r w:rsidRPr="008F15A8">
        <w:rPr>
          <w:lang w:val="pt-BR" w:eastAsia="pt-BR"/>
        </w:rPr>
        <w:t>. (2020), em revisão integrativa, apontam que a docência é uma profissão altamente vulnerável ao desenvolvimento de sintomas depressivos, com repercussões na vida pessoal e profissional. A ausência de políticas de apoio e a precarização das condições de trabalho ampliam esse risco, levando muitos docentes a repensarem sua permanência na carreira.</w:t>
      </w:r>
    </w:p>
    <w:p w14:paraId="29547062" w14:textId="661F52A1" w:rsidR="00C14B27" w:rsidRPr="008F15A8" w:rsidRDefault="00C14B27" w:rsidP="00E80821">
      <w:pPr>
        <w:pStyle w:val="12"/>
        <w:rPr>
          <w:lang w:val="pt-BR" w:eastAsia="pt-BR"/>
        </w:rPr>
      </w:pPr>
      <w:r w:rsidRPr="008F15A8">
        <w:rPr>
          <w:lang w:val="pt-BR" w:eastAsia="pt-BR"/>
        </w:rPr>
        <w:t xml:space="preserve">Durante a pandemia de COVID-19, esse quadro se intensificou. Freitas </w:t>
      </w:r>
      <w:r w:rsidR="00C13152" w:rsidRPr="00C13152">
        <w:rPr>
          <w:i/>
          <w:lang w:val="pt-BR" w:eastAsia="pt-BR"/>
        </w:rPr>
        <w:t>et al</w:t>
      </w:r>
      <w:r w:rsidRPr="008F15A8">
        <w:rPr>
          <w:lang w:val="pt-BR" w:eastAsia="pt-BR"/>
        </w:rPr>
        <w:t xml:space="preserve">. (2021) identificaram alta prevalência de sintomas de depressão, ansiedade e estresse em professores universitários, associando-os às demandas do ensino remoto, ao isolamento social e ao aumento das responsabilidades pedagógicas e tecnológicas. Esse cenário agravou a tendência de afastamentos temporários e abandonos definitivos da profissão, evidenciando como a depressão se tornou um fator decisivo </w:t>
      </w:r>
      <w:r w:rsidRPr="008F15A8">
        <w:rPr>
          <w:lang w:val="pt-BR" w:eastAsia="pt-BR"/>
        </w:rPr>
        <w:lastRenderedPageBreak/>
        <w:t>para a evasão docente.</w:t>
      </w:r>
    </w:p>
    <w:p w14:paraId="276824E9" w14:textId="77777777" w:rsidR="00C14B27" w:rsidRPr="008F15A8" w:rsidRDefault="00C14B27" w:rsidP="00E80821">
      <w:pPr>
        <w:pStyle w:val="12"/>
        <w:rPr>
          <w:lang w:val="pt-BR" w:eastAsia="pt-BR"/>
        </w:rPr>
      </w:pPr>
      <w:r w:rsidRPr="008F15A8">
        <w:rPr>
          <w:lang w:val="pt-BR" w:eastAsia="pt-BR"/>
        </w:rPr>
        <w:t>Outro ponto relevante é a relação entre estresse crônico e depressão. Santos e Silva (2017) demonstraram que níveis elevados de estresse em professores do ensino superior estavam diretamente associados à redução da qualidade de vida e à manifestação de sintomas depressivos. Quando não tratados, esses quadros contribuem para a exaustão emocional e para a desmotivação em permanecer na docência. A sobreposição de múltiplas funções e a ausência de suporte institucional funcionam como catalisadores desse processo.</w:t>
      </w:r>
    </w:p>
    <w:p w14:paraId="615CD928" w14:textId="72EAA37C" w:rsidR="00C14B27" w:rsidRPr="008F15A8" w:rsidRDefault="00C14B27" w:rsidP="00E80821">
      <w:pPr>
        <w:pStyle w:val="12"/>
        <w:rPr>
          <w:lang w:val="pt-BR" w:eastAsia="pt-BR"/>
        </w:rPr>
      </w:pPr>
      <w:r w:rsidRPr="008F15A8">
        <w:rPr>
          <w:lang w:val="pt-BR" w:eastAsia="pt-BR"/>
        </w:rPr>
        <w:t xml:space="preserve">Além disso, a literatura mostra que a depressão docente não é apenas um fenômeno individual, mas também coletivo, relacionado às condições estruturais da educação pública. Tostes </w:t>
      </w:r>
      <w:r w:rsidR="00C13152" w:rsidRPr="00C13152">
        <w:rPr>
          <w:i/>
          <w:lang w:val="pt-BR" w:eastAsia="pt-BR"/>
        </w:rPr>
        <w:t>et al</w:t>
      </w:r>
      <w:r w:rsidRPr="008F15A8">
        <w:rPr>
          <w:lang w:val="pt-BR" w:eastAsia="pt-BR"/>
        </w:rPr>
        <w:t>. (2018) destacam que o sofrimento mental dos professores da rede pública reflete precariedades históricas, como baixos salários, infraestrutura inadequada e desvalorização social. Essas condições crônicas não apenas aumentam os índices de depressão, mas também incentivam o abandono da carreira, reforçando o ciclo de desvalorização docente.</w:t>
      </w:r>
    </w:p>
    <w:p w14:paraId="4203BD8E" w14:textId="343387F8" w:rsidR="00C14B27" w:rsidRPr="008F15A8" w:rsidRDefault="00C14B27" w:rsidP="00E80821">
      <w:pPr>
        <w:pStyle w:val="12"/>
        <w:rPr>
          <w:lang w:val="pt-BR" w:eastAsia="pt-BR"/>
        </w:rPr>
      </w:pPr>
      <w:r w:rsidRPr="008F15A8">
        <w:rPr>
          <w:lang w:val="pt-BR" w:eastAsia="pt-BR"/>
        </w:rPr>
        <w:t xml:space="preserve">A depressão compromete significativamente a qualidade da prática pedagógica, reduzindo a motivação, a concentração e a capacidade de estabelecer vínculos com os alunos. Galinari </w:t>
      </w:r>
      <w:r w:rsidR="00C13152" w:rsidRPr="00C13152">
        <w:rPr>
          <w:i/>
          <w:lang w:val="pt-BR" w:eastAsia="pt-BR"/>
        </w:rPr>
        <w:t>et al</w:t>
      </w:r>
      <w:r w:rsidRPr="008F15A8">
        <w:rPr>
          <w:lang w:val="pt-BR" w:eastAsia="pt-BR"/>
        </w:rPr>
        <w:t>. (2020) ressaltam que o docente em sofrimento tende a apresentar menor engajamento, o que impacta diretamente no processo de ensino-aprendizagem. Esse enfraquecimento da função educativa retroalimenta a sensação de fracasso e reforça o desejo de desistência da profissão.</w:t>
      </w:r>
    </w:p>
    <w:p w14:paraId="248BCB40" w14:textId="298051E7" w:rsidR="00C14B27" w:rsidRPr="008F15A8" w:rsidRDefault="00C14B27" w:rsidP="00E80821">
      <w:pPr>
        <w:pStyle w:val="12"/>
        <w:rPr>
          <w:lang w:val="pt-BR" w:eastAsia="pt-BR"/>
        </w:rPr>
      </w:pPr>
      <w:r w:rsidRPr="008F15A8">
        <w:rPr>
          <w:lang w:val="pt-BR" w:eastAsia="pt-BR"/>
        </w:rPr>
        <w:t xml:space="preserve">No contexto das universidades, a pressão por produtividade científica e a ausência de equilíbrio entre ensino, pesquisa e extensão ampliam o sofrimento docente. Freitas </w:t>
      </w:r>
      <w:r w:rsidR="00C13152" w:rsidRPr="00C13152">
        <w:rPr>
          <w:i/>
          <w:lang w:val="pt-BR" w:eastAsia="pt-BR"/>
        </w:rPr>
        <w:t>et al</w:t>
      </w:r>
      <w:r w:rsidRPr="008F15A8">
        <w:rPr>
          <w:lang w:val="pt-BR" w:eastAsia="pt-BR"/>
        </w:rPr>
        <w:t>. (2021) confirmam que esse acúmulo de funções foi um dos principais fatores de risco para depressão durante a pandemia. Esse quadro revela que a depressão docente não está apenas ligada a aspectos emocionais, mas também a exigências institucionais desproporcionais, que favorecem o abandono.</w:t>
      </w:r>
    </w:p>
    <w:p w14:paraId="1E158568" w14:textId="37440DB2" w:rsidR="00F45082" w:rsidRPr="008F15A8" w:rsidRDefault="00F45082" w:rsidP="00E80821">
      <w:pPr>
        <w:pStyle w:val="12"/>
        <w:rPr>
          <w:lang w:val="pt-BR" w:eastAsia="pt-BR"/>
        </w:rPr>
      </w:pPr>
    </w:p>
    <w:p w14:paraId="383552CD" w14:textId="1018BC51" w:rsidR="007A545C" w:rsidRPr="008F15A8" w:rsidRDefault="00F45082" w:rsidP="00C13152">
      <w:pPr>
        <w:pStyle w:val="Ttulo2"/>
        <w:spacing w:line="360" w:lineRule="auto"/>
        <w:ind w:left="0"/>
        <w:jc w:val="left"/>
        <w:rPr>
          <w:lang w:val="pt-BR" w:eastAsia="pt-BR"/>
        </w:rPr>
      </w:pPr>
      <w:bookmarkStart w:id="17" w:name="_Toc210894970"/>
      <w:r w:rsidRPr="008F15A8">
        <w:rPr>
          <w:lang w:val="pt-BR" w:eastAsia="pt-BR"/>
        </w:rPr>
        <w:t>2.4 Relação entre condições de trabalho e bem-estar docente</w:t>
      </w:r>
      <w:bookmarkEnd w:id="17"/>
    </w:p>
    <w:p w14:paraId="25E9A983" w14:textId="77777777" w:rsidR="00E80821" w:rsidRDefault="00E80821" w:rsidP="00E80821">
      <w:pPr>
        <w:pStyle w:val="12"/>
        <w:rPr>
          <w:lang w:val="pt-BR" w:eastAsia="pt-BR"/>
        </w:rPr>
      </w:pPr>
    </w:p>
    <w:p w14:paraId="5E727DF4" w14:textId="44CD389C" w:rsidR="00C14B27" w:rsidRPr="008F15A8" w:rsidRDefault="00C14B27" w:rsidP="00E80821">
      <w:pPr>
        <w:pStyle w:val="12"/>
        <w:rPr>
          <w:lang w:val="pt-BR" w:eastAsia="pt-BR"/>
        </w:rPr>
      </w:pPr>
      <w:r w:rsidRPr="008F15A8">
        <w:rPr>
          <w:lang w:val="pt-BR" w:eastAsia="pt-BR"/>
        </w:rPr>
        <w:t xml:space="preserve">A jornada de trabalho extensa e a necessidade de manter múltiplos vínculos empregatícios configuram uma das maiores fontes de desgaste psíquico e físico entre professores. Essa realidade, presente em diversas áreas profissionais, reflete diretamente no bem-estar docente. Soares </w:t>
      </w:r>
      <w:r w:rsidR="00C13152" w:rsidRPr="00C13152">
        <w:rPr>
          <w:i/>
          <w:lang w:val="pt-BR" w:eastAsia="pt-BR"/>
        </w:rPr>
        <w:t>et al</w:t>
      </w:r>
      <w:r w:rsidRPr="008F15A8">
        <w:rPr>
          <w:lang w:val="pt-BR" w:eastAsia="pt-BR"/>
        </w:rPr>
        <w:t xml:space="preserve">. (2020) discutem a dupla jornada na </w:t>
      </w:r>
      <w:r w:rsidRPr="008F15A8">
        <w:rPr>
          <w:lang w:val="pt-BR" w:eastAsia="pt-BR"/>
        </w:rPr>
        <w:lastRenderedPageBreak/>
        <w:t>enfermagem como resultado de um modelo neoliberal que naturaliza a sobrecarga e a precarização laboral. O mesmo paradigma se aplica à educação, na qual muitos professores acumulam cargos em diferentes instituições para complementar renda, enfrentando longas horas de trabalho e reduzido tempo de descanso.</w:t>
      </w:r>
    </w:p>
    <w:p w14:paraId="6956E7A2" w14:textId="77777777" w:rsidR="00C14B27" w:rsidRPr="008F15A8" w:rsidRDefault="00C14B27" w:rsidP="00E80821">
      <w:pPr>
        <w:pStyle w:val="12"/>
        <w:rPr>
          <w:lang w:val="pt-BR" w:eastAsia="pt-BR"/>
        </w:rPr>
      </w:pPr>
      <w:r w:rsidRPr="008F15A8">
        <w:rPr>
          <w:lang w:val="pt-BR" w:eastAsia="pt-BR"/>
        </w:rPr>
        <w:t>Os múltiplos vínculos também impactam a qualidade do ensino e a saúde mental do professor. Bispo, Molesini e Pitta (2017), ao analisarem vínculos empregatícios em Centros de Atenção Psicossocial da Bahia, evidenciaram que a multiplicidade de contratos gera insegurança laboral, rotatividade e maior vulnerabilidade ao estresse ocupacional. Em paralelo, no contexto docente, essa instabilidade pode comprometer tanto a dedicação pedagógica quanto a motivação profissional, ampliando os riscos de adoecimento.</w:t>
      </w:r>
    </w:p>
    <w:p w14:paraId="46012491" w14:textId="77777777" w:rsidR="00C14B27" w:rsidRPr="008F15A8" w:rsidRDefault="00C14B27" w:rsidP="00E80821">
      <w:pPr>
        <w:pStyle w:val="12"/>
        <w:rPr>
          <w:lang w:val="pt-BR" w:eastAsia="pt-BR"/>
        </w:rPr>
      </w:pPr>
      <w:r w:rsidRPr="008F15A8">
        <w:rPr>
          <w:lang w:val="pt-BR" w:eastAsia="pt-BR"/>
        </w:rPr>
        <w:t>A sobrecarga de trabalho afeta ainda a percepção de bem-estar e a disposição para a formação continuada. Rocha, Zwierewicz e Violant (2022) apontam que o bem-estar docente está diretamente ligado a políticas de valorização e capacitação. Contudo, quando o professor está submetido a múltiplos vínculos, resta-lhe pouco tempo para investir em desenvolvimento profissional, gerando um ciclo de estagnação e desmotivação que se soma ao cansaço físico e emocional.</w:t>
      </w:r>
    </w:p>
    <w:p w14:paraId="34E4AC0A" w14:textId="2716A07F" w:rsidR="00C14B27" w:rsidRPr="008F15A8" w:rsidRDefault="00C14B27" w:rsidP="00E80821">
      <w:pPr>
        <w:pStyle w:val="12"/>
        <w:rPr>
          <w:lang w:val="pt-BR" w:eastAsia="pt-BR"/>
        </w:rPr>
      </w:pPr>
      <w:r w:rsidRPr="008F15A8">
        <w:rPr>
          <w:lang w:val="pt-BR" w:eastAsia="pt-BR"/>
        </w:rPr>
        <w:t xml:space="preserve">No campo da saúde, Fabri </w:t>
      </w:r>
      <w:r w:rsidR="00C13152" w:rsidRPr="00C13152">
        <w:rPr>
          <w:i/>
          <w:lang w:val="pt-BR" w:eastAsia="pt-BR"/>
        </w:rPr>
        <w:t>et al</w:t>
      </w:r>
      <w:r w:rsidRPr="008F15A8">
        <w:rPr>
          <w:lang w:val="pt-BR" w:eastAsia="pt-BR"/>
        </w:rPr>
        <w:t>. (2018) destacam que jornadas intensas favorecem sintomas de estresse ocupacional, como fadiga, insônia e alterações emocionais. Esses efeitos, embora investigados em enfermeiros, são comparáveis à docência, pois ambos os grupos trabalham em contato direto com demandas humanas intensas. Nos professores, tais manifestações podem comprometer o desempenho em sala de aula, aumentar conflitos interpessoais e reduzir a qualidade do vínculo com os estudantes.</w:t>
      </w:r>
    </w:p>
    <w:p w14:paraId="43A8BB8C" w14:textId="77777777" w:rsidR="00C14B27" w:rsidRPr="008F15A8" w:rsidRDefault="00C14B27" w:rsidP="00E80821">
      <w:pPr>
        <w:pStyle w:val="12"/>
        <w:rPr>
          <w:lang w:val="pt-BR" w:eastAsia="pt-BR"/>
        </w:rPr>
      </w:pPr>
      <w:r w:rsidRPr="008F15A8">
        <w:rPr>
          <w:lang w:val="pt-BR" w:eastAsia="pt-BR"/>
        </w:rPr>
        <w:t>Franco, Fernandes e Millão (2020), ao estudarem enfermeiros-professores da educação profissional técnica, observaram que o acúmulo de funções acentua o cansaço físico e prejudica o equilíbrio entre vida pessoal e profissional. Esse achado ressalta a importância de compreender a multiplicidade de vínculos não apenas como uma questão financeira, mas como um fator determinante de adoecimento psíquico e físico.</w:t>
      </w:r>
    </w:p>
    <w:p w14:paraId="3B2FC160" w14:textId="77777777" w:rsidR="00C14B27" w:rsidRPr="008F15A8" w:rsidRDefault="00C14B27" w:rsidP="00E80821">
      <w:pPr>
        <w:pStyle w:val="12"/>
        <w:rPr>
          <w:lang w:val="pt-BR" w:eastAsia="pt-BR"/>
        </w:rPr>
      </w:pPr>
      <w:r w:rsidRPr="008F15A8">
        <w:rPr>
          <w:lang w:val="pt-BR" w:eastAsia="pt-BR"/>
        </w:rPr>
        <w:t xml:space="preserve">Além disso, a associação entre jornadas extenuantes e transtornos de saúde mental tem sido recorrente em estudos recentes. Nobre, Albuquerque e Júnior (2024) identificaram que profissionais submetidos à sobrecarga durante a pandemia apresentaram altos índices de ansiedade e depressão. Esse dado é essencial para </w:t>
      </w:r>
      <w:r w:rsidRPr="008F15A8">
        <w:rPr>
          <w:lang w:val="pt-BR" w:eastAsia="pt-BR"/>
        </w:rPr>
        <w:lastRenderedPageBreak/>
        <w:t>refletir sobre os professores, que, além das exigências habituais, enfrentaram sobrecarga extra no ensino remoto, intensificando os efeitos negativos dos múltiplos vínculos.</w:t>
      </w:r>
    </w:p>
    <w:p w14:paraId="4A9D60BC" w14:textId="77777777" w:rsidR="00C14B27" w:rsidRPr="008F15A8" w:rsidRDefault="00C14B27" w:rsidP="00E80821">
      <w:pPr>
        <w:pStyle w:val="12"/>
        <w:rPr>
          <w:lang w:val="pt-BR" w:eastAsia="pt-BR"/>
        </w:rPr>
      </w:pPr>
      <w:r w:rsidRPr="008F15A8">
        <w:rPr>
          <w:lang w:val="pt-BR" w:eastAsia="pt-BR"/>
        </w:rPr>
        <w:t>A precarização da docência está intimamente ligada aos baixos salários e à desvalorização da profissão, elementos que reduzem significativamente a motivação e o bem-estar dos professores. Almeida, Merett e Freire (2023) ressaltam que, no ensino superior, a motivação docente é fortemente influenciada pelo reconhecimento social e pela remuneração, sendo a insuficiência salarial um fator de desestímulo que compromete a permanência na carreira. A docência, nesse cenário, deixa de ser vista como uma trajetória de prestígio para se tornar uma profissão marcada pela sobrecarga e frustração.</w:t>
      </w:r>
    </w:p>
    <w:p w14:paraId="1294FA25" w14:textId="74309B16" w:rsidR="00C14B27" w:rsidRPr="008F15A8" w:rsidRDefault="00C14B27" w:rsidP="00E80821">
      <w:pPr>
        <w:pStyle w:val="12"/>
        <w:rPr>
          <w:lang w:val="pt-BR" w:eastAsia="pt-BR"/>
        </w:rPr>
      </w:pPr>
      <w:r w:rsidRPr="008F15A8">
        <w:rPr>
          <w:lang w:val="pt-BR" w:eastAsia="pt-BR"/>
        </w:rPr>
        <w:t xml:space="preserve">O tempo de trabalho é outro elemento que evidencia a precarização da profissão. Barbosa </w:t>
      </w:r>
      <w:r w:rsidR="00C13152" w:rsidRPr="00C13152">
        <w:rPr>
          <w:i/>
          <w:lang w:val="pt-BR" w:eastAsia="pt-BR"/>
        </w:rPr>
        <w:t>et al</w:t>
      </w:r>
      <w:r w:rsidRPr="008F15A8">
        <w:rPr>
          <w:lang w:val="pt-BR" w:eastAsia="pt-BR"/>
        </w:rPr>
        <w:t>. (2021), ao analisarem a composição da jornada de professores paulistas, demonstram que o excesso de horas destinadas a tarefas administrativas e extraclasse, sem a devida compensação salarial, reforça a sensação de exploração. Esse descompasso entre esforço e retorno financeiro compromete tanto a motivação quanto a saúde mental do docente, tornando os salários desmotivadores não apenas por sua quantia, mas pela discrepância frente à carga laboral.</w:t>
      </w:r>
    </w:p>
    <w:p w14:paraId="784D1BDB" w14:textId="77777777" w:rsidR="00C14B27" w:rsidRPr="008F15A8" w:rsidRDefault="00C14B27" w:rsidP="00E80821">
      <w:pPr>
        <w:pStyle w:val="12"/>
        <w:rPr>
          <w:lang w:val="pt-BR" w:eastAsia="pt-BR"/>
        </w:rPr>
      </w:pPr>
      <w:r w:rsidRPr="008F15A8">
        <w:rPr>
          <w:lang w:val="pt-BR" w:eastAsia="pt-BR"/>
        </w:rPr>
        <w:t>A precarização também se manifesta nas condições institucionais do trabalho docente. Frizzo e Bopsin (2017), em estudo sobre professores de educação física no ensino superior privado, identificaram que baixos salários e contratos frágeis estão associados ao aumento de sintomas de estresse e ao desgaste físico e emocional. Esse contexto reflete a lógica de mercado aplicada à educação, em que o professor é tratado como mão de obra descartável, submetida a vínculos precários e exigências excessivas.</w:t>
      </w:r>
    </w:p>
    <w:p w14:paraId="41328629" w14:textId="77777777" w:rsidR="00C14B27" w:rsidRPr="008F15A8" w:rsidRDefault="00C14B27" w:rsidP="00E80821">
      <w:pPr>
        <w:pStyle w:val="12"/>
        <w:rPr>
          <w:lang w:val="pt-BR" w:eastAsia="pt-BR"/>
        </w:rPr>
      </w:pPr>
      <w:r w:rsidRPr="008F15A8">
        <w:rPr>
          <w:lang w:val="pt-BR" w:eastAsia="pt-BR"/>
        </w:rPr>
        <w:t>Outro ponto importante é a relação entre desmotivação e saúde docente. Oliveira, Silveira e Frizzo (2021) observaram que professores estaduais de Pelotas, diante de condições precárias e remuneração insuficiente, apresentaram maior vulnerabilidade a problemas de saúde. A baixa valorização financeira, aliada ao excesso de demandas, agrava os riscos de adoecimento psíquico, favorecendo quadros de ansiedade, depressão e até abandono da carreira.</w:t>
      </w:r>
    </w:p>
    <w:p w14:paraId="4A51B86C" w14:textId="77777777" w:rsidR="00C14B27" w:rsidRPr="008F15A8" w:rsidRDefault="00C14B27" w:rsidP="00E80821">
      <w:pPr>
        <w:pStyle w:val="12"/>
        <w:rPr>
          <w:lang w:val="pt-BR" w:eastAsia="pt-BR"/>
        </w:rPr>
      </w:pPr>
      <w:r w:rsidRPr="008F15A8">
        <w:rPr>
          <w:lang w:val="pt-BR" w:eastAsia="pt-BR"/>
        </w:rPr>
        <w:t xml:space="preserve">A desmotivação no trabalho, segundo Giacomelli, Borges e Santos (2016), decorre de múltiplos determinantes, entre eles a falta de reconhecimento e os salários </w:t>
      </w:r>
      <w:r w:rsidRPr="008F15A8">
        <w:rPr>
          <w:lang w:val="pt-BR" w:eastAsia="pt-BR"/>
        </w:rPr>
        <w:lastRenderedPageBreak/>
        <w:t>desproporcionais às exigências da profissão. Para os docentes, essa desmotivação compromete não apenas a prática pedagógica, mas também o vínculo com os estudantes, reduzindo a qualidade do processo de ensino-aprendizagem. Assim, os salários desmotivadores impactam tanto a esfera individual quanto a coletiva da educação.</w:t>
      </w:r>
    </w:p>
    <w:p w14:paraId="3C1CE5CB" w14:textId="1C7643C6" w:rsidR="00C14B27" w:rsidRPr="008F15A8" w:rsidRDefault="00C14B27" w:rsidP="00E80821">
      <w:pPr>
        <w:pStyle w:val="12"/>
        <w:rPr>
          <w:lang w:val="pt-BR" w:eastAsia="pt-BR"/>
        </w:rPr>
      </w:pPr>
      <w:r w:rsidRPr="008F15A8">
        <w:rPr>
          <w:lang w:val="pt-BR" w:eastAsia="pt-BR"/>
        </w:rPr>
        <w:t xml:space="preserve">No caso da rede pública estadual, Victoriano </w:t>
      </w:r>
      <w:r w:rsidR="00C13152" w:rsidRPr="00C13152">
        <w:rPr>
          <w:i/>
          <w:lang w:val="pt-BR" w:eastAsia="pt-BR"/>
        </w:rPr>
        <w:t>et al</w:t>
      </w:r>
      <w:r w:rsidRPr="008F15A8">
        <w:rPr>
          <w:lang w:val="pt-BR" w:eastAsia="pt-BR"/>
        </w:rPr>
        <w:t>. (2019) mostraram que estilos motivacionais dos professores estão diretamente relacionados às condições de trabalho e à percepção de valorização profissional. Quando os salários são baixos e as condições precárias, prevalecem estilos motivacionais negativos, marcados por desânimo e menor engajamento. Esse cenário afeta diretamente o rendimento escolar e a permanência do professor na profissão.</w:t>
      </w:r>
    </w:p>
    <w:p w14:paraId="10425702" w14:textId="77777777" w:rsidR="00857625" w:rsidRPr="008F15A8" w:rsidRDefault="00857625" w:rsidP="00E80821">
      <w:pPr>
        <w:pStyle w:val="12"/>
        <w:rPr>
          <w:lang w:val="pt-BR" w:eastAsia="pt-BR"/>
        </w:rPr>
      </w:pPr>
      <w:r w:rsidRPr="008F15A8">
        <w:rPr>
          <w:lang w:val="pt-BR" w:eastAsia="pt-BR"/>
        </w:rPr>
        <w:t>O apoio institucional e as políticas de valorização são fundamentais para garantir o bem-estar docente e reduzir os impactos negativos das condições precárias de trabalho. Estrela (2018), ao analisar o perfil de professores de química em escolas públicas e privadas de Goiás, mostrou que a falta de políticas de valorização afeta diretamente a motivação, uma vez que muitos docentes não se sentem reconhecidos pelo esforço que dedicam à prática pedagógica. Isso demonstra que, sem apoio institucional, a docência tende a se tornar uma atividade marcada pela frustração e pelo desânimo.</w:t>
      </w:r>
    </w:p>
    <w:p w14:paraId="5C10AF48" w14:textId="6ACC8FDA" w:rsidR="00857625" w:rsidRPr="008F15A8" w:rsidRDefault="00857625" w:rsidP="00E80821">
      <w:pPr>
        <w:pStyle w:val="12"/>
        <w:rPr>
          <w:lang w:val="pt-BR" w:eastAsia="pt-BR"/>
        </w:rPr>
      </w:pPr>
      <w:r w:rsidRPr="008F15A8">
        <w:rPr>
          <w:lang w:val="pt-BR" w:eastAsia="pt-BR"/>
        </w:rPr>
        <w:t xml:space="preserve">Nesse sentido, programas institucionais de incentivo podem contribuir significativamente para a permanência e a satisfação dos professores. Zanovello </w:t>
      </w:r>
      <w:r w:rsidR="00C13152" w:rsidRPr="00C13152">
        <w:rPr>
          <w:i/>
          <w:lang w:val="pt-BR" w:eastAsia="pt-BR"/>
        </w:rPr>
        <w:t>et al</w:t>
      </w:r>
      <w:r w:rsidRPr="008F15A8">
        <w:rPr>
          <w:lang w:val="pt-BR" w:eastAsia="pt-BR"/>
        </w:rPr>
        <w:t>. (2014), ao estudarem o impacto do Programa Institucional de Bolsas de Iniciação à Docência (PIBID), identificaram que ele fortaleceu a prática pedagógica, melhorou a formação inicial e promoveu maior valorização social da docência. Esse exemplo reforça como iniciativas institucionais bem estruturadas podem gerar motivação, reconhecimento e sentimento de pertencimento.</w:t>
      </w:r>
    </w:p>
    <w:p w14:paraId="072148E8" w14:textId="77777777" w:rsidR="00857625" w:rsidRPr="008F15A8" w:rsidRDefault="00857625" w:rsidP="008A45B4">
      <w:pPr>
        <w:pStyle w:val="12"/>
        <w:rPr>
          <w:lang w:val="pt-BR" w:eastAsia="pt-BR"/>
        </w:rPr>
      </w:pPr>
      <w:r w:rsidRPr="008F15A8">
        <w:rPr>
          <w:lang w:val="pt-BR" w:eastAsia="pt-BR"/>
        </w:rPr>
        <w:t>A valorização do professor também está relacionada à sua atuação em diferentes funções dentro das instituições. Kurachi e Grosseman (2024) analisaram a trajetória de docentes que se tornam orientadores de pesquisa na área da saúde e observaram que, quando apoiados institucionalmente, esses profissionais ampliam sua motivação e compromisso com o ensino. A ausência de suporte, por outro lado, gera sobrecarga e sentimentos de desvalorização, reproduzindo um ciclo de desgaste que compromete o desempenho acadêmico.</w:t>
      </w:r>
    </w:p>
    <w:p w14:paraId="2A9D56D6" w14:textId="538C6B48" w:rsidR="008A45B4" w:rsidRDefault="008A45B4" w:rsidP="008A45B4">
      <w:pPr>
        <w:pStyle w:val="12"/>
        <w:rPr>
          <w:lang w:eastAsia="pt-BR"/>
        </w:rPr>
      </w:pPr>
      <w:r w:rsidRPr="008A45B4">
        <w:rPr>
          <w:lang w:eastAsia="pt-BR"/>
        </w:rPr>
        <w:t xml:space="preserve">Outro aspecto importante é a relação entre políticas de valorização docente e </w:t>
      </w:r>
      <w:r w:rsidRPr="008A45B4">
        <w:rPr>
          <w:lang w:eastAsia="pt-BR"/>
        </w:rPr>
        <w:lastRenderedPageBreak/>
        <w:t xml:space="preserve">as necessidades específicas dos alunos. Santos </w:t>
      </w:r>
      <w:r w:rsidR="00C13152" w:rsidRPr="00C13152">
        <w:rPr>
          <w:i/>
          <w:lang w:eastAsia="pt-BR"/>
        </w:rPr>
        <w:t>et al</w:t>
      </w:r>
      <w:r w:rsidRPr="008A45B4">
        <w:rPr>
          <w:lang w:eastAsia="pt-BR"/>
        </w:rPr>
        <w:t xml:space="preserve">. (2023) destacam que, diante de desafios como dislexia e </w:t>
      </w:r>
      <w:r w:rsidRPr="00C46AAE">
        <w:rPr>
          <w:lang w:eastAsia="pt-BR"/>
        </w:rPr>
        <w:t>Transtorno de Déficit de Atenção e Hiperatividade (TDAH),</w:t>
      </w:r>
      <w:r w:rsidRPr="008A45B4">
        <w:rPr>
          <w:lang w:eastAsia="pt-BR"/>
        </w:rPr>
        <w:t xml:space="preserve"> é essencial que os professores recebam apoio institucional para lidar com a diversidade em sala de aula. Sem políticas de capacitação e recursos adequados, os docentes se sentem desamparados, o que aumenta seu nível de estresse e reduz sua eficácia pedagógica. Esse cenário evidencia que a valorização deve contemplar também a formação continuada e os recursos necessários para atender às demandas contemporâneas da educação.</w:t>
      </w:r>
    </w:p>
    <w:p w14:paraId="6B80D9F4" w14:textId="7ED41E5A" w:rsidR="00857625" w:rsidRPr="008F15A8" w:rsidRDefault="00857625" w:rsidP="008A45B4">
      <w:pPr>
        <w:pStyle w:val="12"/>
        <w:rPr>
          <w:rFonts w:eastAsia="Times New Roman"/>
          <w:bCs/>
          <w:lang w:val="pt-BR" w:eastAsia="pt-BR"/>
        </w:rPr>
      </w:pPr>
      <w:r w:rsidRPr="008F15A8">
        <w:rPr>
          <w:rFonts w:eastAsia="Times New Roman"/>
          <w:bCs/>
          <w:lang w:val="pt-BR" w:eastAsia="pt-BR"/>
        </w:rPr>
        <w:t>Além disso, a implementação de políticas de valorização fortalece o vínculo entre o professor e a instituição, aumentando a motivação e reduzindo índices de abandono da carreira. Estrela (2018) já havia mostrado que a falta de reconhecimento profissional está entre os principais fatores de desmotivação. Quando associada a baixos salários e condições precárias, a ausência de apoio institucional torna-se um fator decisivo para a evasão docente.</w:t>
      </w:r>
    </w:p>
    <w:p w14:paraId="4936670B" w14:textId="0CA4F48C" w:rsidR="00857625" w:rsidRPr="008F15A8" w:rsidRDefault="00857625" w:rsidP="008A45B4">
      <w:pPr>
        <w:pStyle w:val="12"/>
        <w:rPr>
          <w:rFonts w:eastAsia="Times New Roman"/>
          <w:bCs/>
          <w:lang w:val="pt-BR" w:eastAsia="pt-BR"/>
        </w:rPr>
      </w:pPr>
      <w:r w:rsidRPr="008F15A8">
        <w:rPr>
          <w:rFonts w:eastAsia="Times New Roman"/>
          <w:bCs/>
          <w:lang w:val="pt-BR" w:eastAsia="pt-BR"/>
        </w:rPr>
        <w:t xml:space="preserve">Por outro lado, exemplos como o PIBID (Zanovello </w:t>
      </w:r>
      <w:r w:rsidR="00C13152" w:rsidRPr="00C13152">
        <w:rPr>
          <w:rFonts w:eastAsia="Times New Roman"/>
          <w:bCs/>
          <w:i/>
          <w:lang w:val="pt-BR" w:eastAsia="pt-BR"/>
        </w:rPr>
        <w:t>et al</w:t>
      </w:r>
      <w:r w:rsidRPr="008F15A8">
        <w:rPr>
          <w:rFonts w:eastAsia="Times New Roman"/>
          <w:bCs/>
          <w:lang w:val="pt-BR" w:eastAsia="pt-BR"/>
        </w:rPr>
        <w:t>., 2014) demonstram que políticas públicas e institucionais podem transformar a realidade da docência, oferecendo recursos financeiros, pedagógicos e simbólicos que reforçam a importância social da profissão. Essas medidas ampliam não apenas o bem-estar dos professores, mas também a qualidade do ensino, evidenciando que investir na valorização docente é investir no futuro da educação.</w:t>
      </w:r>
    </w:p>
    <w:p w14:paraId="3DB229D3" w14:textId="77777777" w:rsidR="00857625" w:rsidRPr="008F15A8" w:rsidRDefault="00857625" w:rsidP="008A45B4">
      <w:pPr>
        <w:pStyle w:val="12"/>
        <w:rPr>
          <w:rFonts w:eastAsia="Times New Roman"/>
          <w:bCs/>
          <w:lang w:val="pt-BR" w:eastAsia="pt-BR"/>
        </w:rPr>
      </w:pPr>
      <w:r w:rsidRPr="008F15A8">
        <w:rPr>
          <w:rFonts w:eastAsia="Times New Roman"/>
          <w:bCs/>
          <w:lang w:val="pt-BR" w:eastAsia="pt-BR"/>
        </w:rPr>
        <w:t>A infraestrutura escolar é um fator determinante para o equilíbrio mental de professores e alunos, impactando diretamente na qualidade do processo educativo. Soares, Soares e Santos (2020) evidenciam que escolas com ambientes físicos inadequados apresentam piores desempenhos na Prova Brasil, demonstrando que condições precárias de trabalho prejudicam tanto o rendimento dos estudantes quanto a motivação docente. Para o professor, lecionar em espaços mal estruturados significa enfrentar ruídos, falta de recursos e sobrecarga emocional, elementos que favorecem o adoecimento psíquico.</w:t>
      </w:r>
    </w:p>
    <w:p w14:paraId="76FB4F41" w14:textId="77777777" w:rsidR="00857625" w:rsidRPr="008A45B4" w:rsidRDefault="00857625" w:rsidP="008A45B4">
      <w:pPr>
        <w:pStyle w:val="12"/>
      </w:pPr>
      <w:r w:rsidRPr="008A45B4">
        <w:t xml:space="preserve">A ausência de infraestrutura adequada também compromete práticas pedagógicas voltadas à promoção da saúde. Carvalho (2015) aponta que escolas com ambientes planejados conseguem integrar atividades de promoção da saúde em suas rotinas pedagógicas, fortalecendo a saúde mental dos alunos e reduzindo o estresse docente. Quando essa estrutura é inexistente, o professor precisa improvisar, acumulando responsabilidades que ultrapassam sua função, o que intensifica o </w:t>
      </w:r>
      <w:r w:rsidRPr="008A45B4">
        <w:lastRenderedPageBreak/>
        <w:t>desgaste físico e psicológico.</w:t>
      </w:r>
    </w:p>
    <w:p w14:paraId="221C5505" w14:textId="3897D5FE" w:rsidR="00857625" w:rsidRPr="008A45B4" w:rsidRDefault="00857625" w:rsidP="008A45B4">
      <w:pPr>
        <w:pStyle w:val="12"/>
      </w:pPr>
      <w:r w:rsidRPr="008A45B4">
        <w:t xml:space="preserve">O Programa Saúde na Escola (PSE) surge como estratégia relevante para minimizar esses impactos, mas depende de uma infraestrutura que sustente sua efetividade. Rumor </w:t>
      </w:r>
      <w:r w:rsidR="00C13152" w:rsidRPr="00C13152">
        <w:rPr>
          <w:i/>
        </w:rPr>
        <w:t>et al</w:t>
      </w:r>
      <w:r w:rsidRPr="008A45B4">
        <w:t>. (2022) destacam que a articulação intersetorial só é eficaz quando há condições materiais e institucionais adequadas. Nesse sentido, professores atuam em um espaço que pode tanto ser protetivo quanto gerador de sofrimento, dependendo do suporte estrutural oferecido pela escola.</w:t>
      </w:r>
    </w:p>
    <w:p w14:paraId="33F66394" w14:textId="7B53A544" w:rsidR="00857625" w:rsidRPr="008A45B4" w:rsidRDefault="00857625" w:rsidP="008A45B4">
      <w:pPr>
        <w:pStyle w:val="12"/>
      </w:pPr>
      <w:r w:rsidRPr="008A45B4">
        <w:t xml:space="preserve">Experiências práticas reforçam esse ponto. Fernandes </w:t>
      </w:r>
      <w:r w:rsidR="00C13152" w:rsidRPr="00C13152">
        <w:rPr>
          <w:i/>
        </w:rPr>
        <w:t>et al</w:t>
      </w:r>
      <w:r w:rsidRPr="008A45B4">
        <w:t>. (2024), ao relatarem intervenções em saúde mental no ambiente escolar, mostraram que a disponibilidade de espaços físicos adequados favoreceu o desenvolvimento de atividades de cuidado psicológico com crianças. Essa realidade contrasta com escolas que carecem de ambientes apropriados, onde a execução de projetos é limitada, sobrecarregando os docentes com a necessidade de adaptar metodologias e espaços.</w:t>
      </w:r>
    </w:p>
    <w:p w14:paraId="30D81E9B" w14:textId="15F15F2B" w:rsidR="008A45B4" w:rsidRPr="008A45B4" w:rsidRDefault="008A45B4" w:rsidP="008A45B4">
      <w:pPr>
        <w:pStyle w:val="12"/>
      </w:pPr>
      <w:r w:rsidRPr="008A45B4">
        <w:t xml:space="preserve">Do mesmo modo, Anjos </w:t>
      </w:r>
      <w:r w:rsidR="00C13152" w:rsidRPr="00C13152">
        <w:rPr>
          <w:i/>
        </w:rPr>
        <w:t>et al</w:t>
      </w:r>
      <w:r w:rsidRPr="008A45B4">
        <w:t xml:space="preserve">. (2022) evidenciaram que a atuação da enfermagem </w:t>
      </w:r>
      <w:r w:rsidRPr="00C46AAE">
        <w:t>no Programa Saúde na Escola (PSE)</w:t>
      </w:r>
      <w:r w:rsidRPr="008A45B4">
        <w:t xml:space="preserve"> após a pandemia foi fortalecida em escolas com melhor infraestrutura, permitindo o desenvolvimento de ações de acolhimento e prevenção em saúde mental. Para os professores, esse apoio estruturado reduz a sobrecarga e promove sensação de suporte institucional, funcionando como fator protetivo contra o adoecimento.</w:t>
      </w:r>
    </w:p>
    <w:p w14:paraId="39897C75" w14:textId="1A571428" w:rsidR="00857625" w:rsidRPr="008A45B4" w:rsidRDefault="00857625" w:rsidP="008A45B4">
      <w:pPr>
        <w:pStyle w:val="12"/>
      </w:pPr>
      <w:r w:rsidRPr="008A45B4">
        <w:t xml:space="preserve">A literatura também demonstra que a infraestrutura escolar se conecta ao cuidado com adolescentes. Luz </w:t>
      </w:r>
      <w:r w:rsidR="00C13152" w:rsidRPr="00C13152">
        <w:rPr>
          <w:i/>
        </w:rPr>
        <w:t>et al</w:t>
      </w:r>
      <w:r w:rsidRPr="008A45B4">
        <w:t>. (2018) enfatizam que a saúde mental nessa fase é influenciada por ambientes físicos saudáveis e organizados, os quais proporcionam segurança e favorecem vínculos interpessoais. Para os professores, trabalhar em espaços estruturados contribui para maior equilíbrio emocional e maior disposição para lidar com as demandas pedagógicas e afetivas dos alunos.</w:t>
      </w:r>
    </w:p>
    <w:p w14:paraId="6A78626D" w14:textId="7EC0B790" w:rsidR="00857625" w:rsidRPr="008A45B4" w:rsidRDefault="00857625" w:rsidP="008A45B4">
      <w:pPr>
        <w:pStyle w:val="12"/>
      </w:pPr>
      <w:r w:rsidRPr="008A45B4">
        <w:t xml:space="preserve">Em síntese, a infraestrutura escolar atua como um pilar essencial para o equilíbrio mental no espaço educativo. Estudos como os de Soares </w:t>
      </w:r>
      <w:r w:rsidR="00C13152" w:rsidRPr="00C13152">
        <w:rPr>
          <w:i/>
        </w:rPr>
        <w:t>et al</w:t>
      </w:r>
      <w:r w:rsidRPr="008A45B4">
        <w:t xml:space="preserve">. (2020), Carvalho (2015), Fernandes </w:t>
      </w:r>
      <w:r w:rsidR="00C13152" w:rsidRPr="00C13152">
        <w:rPr>
          <w:i/>
        </w:rPr>
        <w:t>et al</w:t>
      </w:r>
      <w:r w:rsidRPr="008A45B4">
        <w:t xml:space="preserve">. (2024) e Rumor </w:t>
      </w:r>
      <w:r w:rsidR="00C13152" w:rsidRPr="00C13152">
        <w:rPr>
          <w:i/>
        </w:rPr>
        <w:t>et al</w:t>
      </w:r>
      <w:r w:rsidRPr="008A45B4">
        <w:t>. (2022) revelam que ambientes adequados reduzem o estresse docente, ampliam a qualidade pedagógica e favorecem práticas de cuidado em saúde mental. A precariedade estrutural, ao contrário, amplia a sobrecarga de trabalho e favorece sintomas de exaustão, reforçando a urgência de investimentos em condições materiais e físicas das instituições de ensino.</w:t>
      </w:r>
    </w:p>
    <w:p w14:paraId="4802977E" w14:textId="5A296F76" w:rsidR="00F45082" w:rsidRPr="008F15A8" w:rsidRDefault="00F45082" w:rsidP="00C13152">
      <w:pPr>
        <w:pStyle w:val="Ttulo2"/>
        <w:spacing w:line="360" w:lineRule="auto"/>
        <w:ind w:left="0"/>
        <w:jc w:val="left"/>
        <w:rPr>
          <w:lang w:val="pt-BR" w:eastAsia="pt-BR"/>
        </w:rPr>
      </w:pPr>
      <w:bookmarkStart w:id="18" w:name="_Toc210894971"/>
      <w:r w:rsidRPr="008F15A8">
        <w:rPr>
          <w:lang w:val="pt-BR" w:eastAsia="pt-BR"/>
        </w:rPr>
        <w:lastRenderedPageBreak/>
        <w:t>2.5 Estratégias de enfrentamento e promoção da saúde mental</w:t>
      </w:r>
      <w:bookmarkEnd w:id="18"/>
    </w:p>
    <w:p w14:paraId="4ADC00B3" w14:textId="77777777" w:rsidR="007A545C" w:rsidRPr="008F15A8" w:rsidRDefault="007A545C" w:rsidP="008F15A8">
      <w:pPr>
        <w:spacing w:line="360" w:lineRule="auto"/>
        <w:ind w:firstLine="709"/>
        <w:jc w:val="both"/>
        <w:rPr>
          <w:rFonts w:ascii="Arial" w:eastAsia="Times New Roman" w:hAnsi="Arial" w:cs="Arial"/>
          <w:bCs/>
          <w:sz w:val="24"/>
          <w:szCs w:val="24"/>
          <w:lang w:val="pt-BR" w:eastAsia="pt-BR"/>
        </w:rPr>
      </w:pPr>
    </w:p>
    <w:p w14:paraId="5F11D643" w14:textId="77777777" w:rsidR="00857625" w:rsidRPr="008F15A8" w:rsidRDefault="00857625" w:rsidP="008A45B4">
      <w:pPr>
        <w:pStyle w:val="12"/>
        <w:rPr>
          <w:lang w:val="pt-BR" w:eastAsia="pt-BR"/>
        </w:rPr>
      </w:pPr>
      <w:r w:rsidRPr="008F15A8">
        <w:rPr>
          <w:lang w:val="pt-BR" w:eastAsia="pt-BR"/>
        </w:rPr>
        <w:t>A valorização docente, quando incorporada a políticas públicas, constitui elemento essencial para fortalecer a identidade profissional e reduzir o desgaste mental da categoria. Gomes, Nunes e Pádua (2021) ressaltam a ambiguidade vivida por professores que, apesar de serem considerados fundamentais para a formação cidadã, muitas vezes se percebem como “apenas um professor”, em razão da falta de políticas consistentes de reconhecimento. Essa desvalorização simbólica, somada à ausência de apoio governamental, alimenta a sensação de invisibilidade e compromete a motivação.</w:t>
      </w:r>
    </w:p>
    <w:p w14:paraId="4A55A5C6" w14:textId="77777777" w:rsidR="00857625" w:rsidRPr="008F15A8" w:rsidRDefault="00857625" w:rsidP="008A45B4">
      <w:pPr>
        <w:pStyle w:val="12"/>
        <w:rPr>
          <w:lang w:val="pt-BR" w:eastAsia="pt-BR"/>
        </w:rPr>
      </w:pPr>
      <w:r w:rsidRPr="008F15A8">
        <w:rPr>
          <w:lang w:val="pt-BR" w:eastAsia="pt-BR"/>
        </w:rPr>
        <w:t>Nesse sentido, políticas públicas de valorização precisam contemplar tanto aspectos materiais, como remuneração, quanto formativos, como programas de capacitação. Medeiros, Cruz e Franco (2023), em estudo sobre a valorização docente na literatura acadêmica, destacam que a formação continuada e o investimento em condições dignas de trabalho são dimensões recorrentes nos debates sobre políticas de valorização. Os autores apontam que, sem esse compromisso institucional, a docência permanece vulnerável à precarização.</w:t>
      </w:r>
    </w:p>
    <w:p w14:paraId="52C58A2D" w14:textId="77777777" w:rsidR="00857625" w:rsidRPr="008F15A8" w:rsidRDefault="00857625" w:rsidP="008A45B4">
      <w:pPr>
        <w:pStyle w:val="12"/>
        <w:rPr>
          <w:lang w:val="pt-BR" w:eastAsia="pt-BR"/>
        </w:rPr>
      </w:pPr>
      <w:r w:rsidRPr="008F15A8">
        <w:rPr>
          <w:lang w:val="pt-BR" w:eastAsia="pt-BR"/>
        </w:rPr>
        <w:t>A formação inicial também é um eixo crucial nas políticas públicas de valorização. Ribeiro (2023), ao relatar a experiência do Programa Residência Pedagógica, evidenciou que iniciativas dessa natureza promovem integração entre teoria e prática, fortalecem a identidade profissional e aumentam o engajamento de futuros professores. Programas assim contribuem para consolidar a valorização da carreira desde a entrada no magistério, reduzindo índices de evasão já nas etapas iniciais.</w:t>
      </w:r>
    </w:p>
    <w:p w14:paraId="7F52B3BD" w14:textId="77777777" w:rsidR="00857625" w:rsidRPr="008F15A8" w:rsidRDefault="00857625" w:rsidP="008A45B4">
      <w:pPr>
        <w:pStyle w:val="12"/>
        <w:rPr>
          <w:lang w:val="pt-BR" w:eastAsia="pt-BR"/>
        </w:rPr>
      </w:pPr>
      <w:r w:rsidRPr="008F15A8">
        <w:rPr>
          <w:lang w:val="pt-BR" w:eastAsia="pt-BR"/>
        </w:rPr>
        <w:t>Sobzinski, Diogo e Masson (2015) analisaram os planos nacionais de educação e suas metas voltadas à valorização docente, destacando que, embora a legislação preveja avanços, há lacunas entre o texto normativo e a realidade vivida pelos professores. Essa distância entre o plano formal e a prática cotidiana fragiliza o impacto das políticas, demonstrando a necessidade de articulação entre legislação, financiamento e implementação efetiva.</w:t>
      </w:r>
    </w:p>
    <w:p w14:paraId="22C6603C" w14:textId="77777777" w:rsidR="00857625" w:rsidRPr="008F15A8" w:rsidRDefault="00857625" w:rsidP="008A45B4">
      <w:pPr>
        <w:pStyle w:val="12"/>
        <w:rPr>
          <w:lang w:val="pt-BR" w:eastAsia="pt-BR"/>
        </w:rPr>
      </w:pPr>
      <w:r w:rsidRPr="008F15A8">
        <w:rPr>
          <w:lang w:val="pt-BR" w:eastAsia="pt-BR"/>
        </w:rPr>
        <w:t xml:space="preserve">A ausência de políticas consistentes não apenas compromete a permanência de professores na carreira, mas também repercute na saúde mental e no equilíbrio emocional. A valorização simbólica e material, quando institucionalizada, atua como fator de proteção contra o estresse ocupacional. Gomes, Nunes e Pádua (2021) já </w:t>
      </w:r>
      <w:r w:rsidRPr="008F15A8">
        <w:rPr>
          <w:lang w:val="pt-BR" w:eastAsia="pt-BR"/>
        </w:rPr>
        <w:lastRenderedPageBreak/>
        <w:t>apontavam que a identidade docente é atravessada por sentimentos de pertencimento, que dependem diretamente do reconhecimento social e político.</w:t>
      </w:r>
    </w:p>
    <w:p w14:paraId="2F6699F7" w14:textId="77777777" w:rsidR="00857625" w:rsidRPr="008F15A8" w:rsidRDefault="00857625" w:rsidP="008A45B4">
      <w:pPr>
        <w:pStyle w:val="12"/>
        <w:rPr>
          <w:lang w:val="pt-BR" w:eastAsia="pt-BR"/>
        </w:rPr>
      </w:pPr>
      <w:r w:rsidRPr="008F15A8">
        <w:rPr>
          <w:lang w:val="pt-BR" w:eastAsia="pt-BR"/>
        </w:rPr>
        <w:t>Por outro lado, quando implementadas de forma concreta, políticas públicas de valorização têm o potencial de transformar a carreira docente em espaço de realização profissional. Programas como o Residência Pedagógica, analisado por Ribeiro (2023), e os instrumentos previstos no Plano Nacional de Educação, ainda que insuficientes, representam passos importantes na construção de uma agenda de valorização. Sua ampliação e efetividade são fundamentais para fortalecer a docência como carreira de prestígio.</w:t>
      </w:r>
    </w:p>
    <w:p w14:paraId="5FB1C242" w14:textId="77777777" w:rsidR="00857625" w:rsidRPr="008F15A8" w:rsidRDefault="00857625" w:rsidP="008A45B4">
      <w:pPr>
        <w:pStyle w:val="12"/>
        <w:rPr>
          <w:lang w:val="pt-BR" w:eastAsia="pt-BR"/>
        </w:rPr>
      </w:pPr>
      <w:r w:rsidRPr="008F15A8">
        <w:rPr>
          <w:lang w:val="pt-BR" w:eastAsia="pt-BR"/>
        </w:rPr>
        <w:t>O autocuidado e a gestão emocional têm se tornado estratégias fundamentais para que professores enfrentem os desafios cotidianos da profissão e mantenham equilíbrio mental. Embora muitos estudos foquem em outras categorias profissionais, os achados podem ser aplicados ao contexto docente, uma vez que o autocuidado é uma necessidade transversal. Silva e Domingues (2017), ao validarem uma escala para avaliar as capacidades de autocuidado, destacam que o desenvolvimento dessas competências está diretamente relacionado à prevenção de adoecimento. Para os professores, isso significa adotar práticas conscientes que minimizem os efeitos da sobrecarga emocional.</w:t>
      </w:r>
    </w:p>
    <w:p w14:paraId="41763D6F" w14:textId="6CC59BB3" w:rsidR="00857625" w:rsidRPr="008F15A8" w:rsidRDefault="00857625" w:rsidP="008A45B4">
      <w:pPr>
        <w:pStyle w:val="12"/>
        <w:rPr>
          <w:lang w:val="pt-BR" w:eastAsia="pt-BR"/>
        </w:rPr>
      </w:pPr>
      <w:r w:rsidRPr="008F15A8">
        <w:rPr>
          <w:lang w:val="pt-BR" w:eastAsia="pt-BR"/>
        </w:rPr>
        <w:t xml:space="preserve">Entre as práticas de autocuidado mais comuns, incluem-se a organização da rotina, o manejo do estresse e o equilíbrio entre vida profissional e pessoal. Silva </w:t>
      </w:r>
      <w:r w:rsidR="00C13152" w:rsidRPr="00C13152">
        <w:rPr>
          <w:i/>
          <w:lang w:val="pt-BR" w:eastAsia="pt-BR"/>
        </w:rPr>
        <w:t>et al</w:t>
      </w:r>
      <w:r w:rsidRPr="008F15A8">
        <w:rPr>
          <w:lang w:val="pt-BR" w:eastAsia="pt-BR"/>
        </w:rPr>
        <w:t>. (2023), em revisão sobre estratégias de autocuidado em profissionais da saúde, observaram que a adoção de hábitos saudáveis, como atividade física, lazer e suporte social, fortalece a capacidade de enfrentamento de situações de pressão. No ambiente escolar, tais práticas ajudam os professores a reduzir sintomas de estresse, ansiedade e esgotamento.</w:t>
      </w:r>
    </w:p>
    <w:p w14:paraId="701FB4E5" w14:textId="4F55BBB3" w:rsidR="00857625" w:rsidRPr="008F15A8" w:rsidRDefault="00857625" w:rsidP="008A45B4">
      <w:pPr>
        <w:pStyle w:val="12"/>
        <w:rPr>
          <w:lang w:val="pt-BR" w:eastAsia="pt-BR"/>
        </w:rPr>
      </w:pPr>
      <w:r w:rsidRPr="008F15A8">
        <w:rPr>
          <w:lang w:val="pt-BR" w:eastAsia="pt-BR"/>
        </w:rPr>
        <w:t xml:space="preserve">O papel da educação para o autocuidado também é um ponto central. Melo </w:t>
      </w:r>
      <w:r w:rsidR="00C13152" w:rsidRPr="00C13152">
        <w:rPr>
          <w:i/>
          <w:lang w:val="pt-BR" w:eastAsia="pt-BR"/>
        </w:rPr>
        <w:t>et al</w:t>
      </w:r>
      <w:r w:rsidRPr="008F15A8">
        <w:rPr>
          <w:lang w:val="pt-BR" w:eastAsia="pt-BR"/>
        </w:rPr>
        <w:t>. (2020), ao revisarem a aplicação da Teoria de Orem no contexto de cuidados em saúde, reforçam que o autocuidado depende de conhecimento, conscientização e prática sistemática. Esse referencial pode ser transposto à docência, pois capacitar professores a reconhecerem sinais de desgaste e adotarem estratégias de proteção é essencial para sua permanência saudável na carreira.</w:t>
      </w:r>
    </w:p>
    <w:p w14:paraId="0B6BB2C6" w14:textId="77777777" w:rsidR="00857625" w:rsidRPr="008F15A8" w:rsidRDefault="00857625" w:rsidP="008F15A8">
      <w:pPr>
        <w:spacing w:line="360" w:lineRule="auto"/>
        <w:ind w:firstLine="709"/>
        <w:jc w:val="both"/>
        <w:rPr>
          <w:rFonts w:ascii="Arial" w:eastAsia="Times New Roman" w:hAnsi="Arial" w:cs="Arial"/>
          <w:bCs/>
          <w:sz w:val="24"/>
          <w:szCs w:val="24"/>
          <w:lang w:val="pt-BR" w:eastAsia="pt-BR"/>
        </w:rPr>
      </w:pPr>
      <w:r w:rsidRPr="008F15A8">
        <w:rPr>
          <w:rFonts w:ascii="Arial" w:eastAsia="Times New Roman" w:hAnsi="Arial" w:cs="Arial"/>
          <w:bCs/>
          <w:sz w:val="24"/>
          <w:szCs w:val="24"/>
          <w:lang w:val="pt-BR" w:eastAsia="pt-BR"/>
        </w:rPr>
        <w:t xml:space="preserve">A falta de conhecimento, por outro lado, é um fator que intensifica os riscos de adoecimento. Silveira e Santos (2023), em estudo sobre diabetes mellitus tipo 2, evidenciam que a ausência de informações adequadas compromete o autocuidado. </w:t>
      </w:r>
      <w:r w:rsidRPr="008F15A8">
        <w:rPr>
          <w:rFonts w:ascii="Arial" w:eastAsia="Times New Roman" w:hAnsi="Arial" w:cs="Arial"/>
          <w:bCs/>
          <w:sz w:val="24"/>
          <w:szCs w:val="24"/>
          <w:lang w:val="pt-BR" w:eastAsia="pt-BR"/>
        </w:rPr>
        <w:lastRenderedPageBreak/>
        <w:t>De forma análoga, professores que não recebem formação ou suporte institucional para desenvolver estratégias de gestão emocional tendem a negligenciar sua saúde mental, o que favorece quadros de ansiedade, burnout e depressão.</w:t>
      </w:r>
    </w:p>
    <w:p w14:paraId="3DB619E4" w14:textId="74847C14" w:rsidR="00857625" w:rsidRPr="008F15A8" w:rsidRDefault="00857625" w:rsidP="008F15A8">
      <w:pPr>
        <w:spacing w:line="360" w:lineRule="auto"/>
        <w:ind w:firstLine="709"/>
        <w:jc w:val="both"/>
        <w:rPr>
          <w:rFonts w:ascii="Arial" w:eastAsia="Times New Roman" w:hAnsi="Arial" w:cs="Arial"/>
          <w:bCs/>
          <w:sz w:val="24"/>
          <w:szCs w:val="24"/>
          <w:lang w:val="pt-BR" w:eastAsia="pt-BR"/>
        </w:rPr>
      </w:pPr>
      <w:r w:rsidRPr="008F15A8">
        <w:rPr>
          <w:rFonts w:ascii="Arial" w:eastAsia="Times New Roman" w:hAnsi="Arial" w:cs="Arial"/>
          <w:bCs/>
          <w:sz w:val="24"/>
          <w:szCs w:val="24"/>
          <w:lang w:val="pt-BR" w:eastAsia="pt-BR"/>
        </w:rPr>
        <w:t xml:space="preserve">Práticas de autocuidado, quando associadas à gestão emocional, podem incluir técnicas de relaxamento, </w:t>
      </w:r>
      <w:r w:rsidRPr="00420BFC">
        <w:rPr>
          <w:rFonts w:ascii="Arial" w:eastAsia="Times New Roman" w:hAnsi="Arial" w:cs="Arial"/>
          <w:bCs/>
          <w:i/>
          <w:iCs/>
          <w:sz w:val="24"/>
          <w:szCs w:val="24"/>
          <w:lang w:val="pt-BR" w:eastAsia="pt-BR"/>
        </w:rPr>
        <w:t>mindfulness</w:t>
      </w:r>
      <w:r w:rsidRPr="008F15A8">
        <w:rPr>
          <w:rFonts w:ascii="Arial" w:eastAsia="Times New Roman" w:hAnsi="Arial" w:cs="Arial"/>
          <w:bCs/>
          <w:sz w:val="24"/>
          <w:szCs w:val="24"/>
          <w:lang w:val="pt-BR" w:eastAsia="pt-BR"/>
        </w:rPr>
        <w:t xml:space="preserve">, psicoterapia e fortalecimento de redes de apoio. Silva </w:t>
      </w:r>
      <w:r w:rsidR="00C13152" w:rsidRPr="00C13152">
        <w:rPr>
          <w:rFonts w:ascii="Arial" w:eastAsia="Times New Roman" w:hAnsi="Arial" w:cs="Arial"/>
          <w:bCs/>
          <w:i/>
          <w:sz w:val="24"/>
          <w:szCs w:val="24"/>
          <w:lang w:val="pt-BR" w:eastAsia="pt-BR"/>
        </w:rPr>
        <w:t>et al</w:t>
      </w:r>
      <w:r w:rsidRPr="008F15A8">
        <w:rPr>
          <w:rFonts w:ascii="Arial" w:eastAsia="Times New Roman" w:hAnsi="Arial" w:cs="Arial"/>
          <w:bCs/>
          <w:sz w:val="24"/>
          <w:szCs w:val="24"/>
          <w:lang w:val="pt-BR" w:eastAsia="pt-BR"/>
        </w:rPr>
        <w:t>. (2023) apontam que essas medidas contribuem não apenas para o bem-estar individual, mas também para maior resiliência no enfrentamento das adversidades profissionais. Para os professores, essa resiliência é crucial diante de demandas como a pressão por resultados, a desvalorização social e os conflitos em sala de aula.</w:t>
      </w:r>
    </w:p>
    <w:p w14:paraId="0E0C1001" w14:textId="77777777" w:rsidR="00857625" w:rsidRPr="008F15A8" w:rsidRDefault="00857625" w:rsidP="008F15A8">
      <w:pPr>
        <w:spacing w:line="360" w:lineRule="auto"/>
        <w:ind w:firstLine="709"/>
        <w:jc w:val="both"/>
        <w:rPr>
          <w:rFonts w:ascii="Arial" w:eastAsia="Times New Roman" w:hAnsi="Arial" w:cs="Arial"/>
          <w:bCs/>
          <w:sz w:val="24"/>
          <w:szCs w:val="24"/>
          <w:lang w:val="pt-BR" w:eastAsia="pt-BR"/>
        </w:rPr>
      </w:pPr>
      <w:r w:rsidRPr="008F15A8">
        <w:rPr>
          <w:rFonts w:ascii="Arial" w:eastAsia="Times New Roman" w:hAnsi="Arial" w:cs="Arial"/>
          <w:bCs/>
          <w:sz w:val="24"/>
          <w:szCs w:val="24"/>
          <w:lang w:val="pt-BR" w:eastAsia="pt-BR"/>
        </w:rPr>
        <w:t>Além disso, a gestão emocional auxilia os docentes a construírem relações mais equilibradas com seus alunos e colegas de trabalho. Ao aprenderem a lidar com suas próprias emoções, os professores se tornam mais aptos a mediar conflitos e a criar ambientes de aprendizagem mais saudáveis. Isso reflete não apenas em sua saúde mental, mas também na qualidade pedagógica e no clima escolar.</w:t>
      </w:r>
    </w:p>
    <w:p w14:paraId="39FAB476" w14:textId="77777777" w:rsidR="00857625" w:rsidRPr="008F15A8" w:rsidRDefault="00857625" w:rsidP="008F15A8">
      <w:pPr>
        <w:spacing w:line="360" w:lineRule="auto"/>
        <w:ind w:firstLine="709"/>
        <w:jc w:val="both"/>
        <w:rPr>
          <w:rFonts w:ascii="Arial" w:eastAsia="Times New Roman" w:hAnsi="Arial" w:cs="Arial"/>
          <w:bCs/>
          <w:sz w:val="24"/>
          <w:szCs w:val="24"/>
          <w:lang w:val="pt-BR" w:eastAsia="pt-BR"/>
        </w:rPr>
      </w:pPr>
      <w:r w:rsidRPr="008F15A8">
        <w:rPr>
          <w:rFonts w:ascii="Arial" w:eastAsia="Times New Roman" w:hAnsi="Arial" w:cs="Arial"/>
          <w:bCs/>
          <w:sz w:val="24"/>
          <w:szCs w:val="24"/>
          <w:lang w:val="pt-BR" w:eastAsia="pt-BR"/>
        </w:rPr>
        <w:t>A formação continuada é apontada como um dos principais mecanismos de enfrentamento ao adoecimento docente, pois permite ao professor renovar saberes, trocar experiências e desenvolver estratégias de adaptação às constantes demandas educacionais. Ferreira e Toman (2020) destacam que iniciativas voltadas à inclusão e educação especial, quando articuladas à formação, fortalecem a atuação dos professores diante de desafios complexos, prevenindo sentimentos de impotência e desgaste. Assim, a formação permanente não é apenas um processo técnico, mas também uma forma de cuidado com a saúde mental.</w:t>
      </w:r>
    </w:p>
    <w:p w14:paraId="61E9DBD8" w14:textId="77777777" w:rsidR="00857625" w:rsidRPr="008F15A8" w:rsidRDefault="00857625" w:rsidP="008F15A8">
      <w:pPr>
        <w:spacing w:line="360" w:lineRule="auto"/>
        <w:ind w:firstLine="709"/>
        <w:jc w:val="both"/>
        <w:rPr>
          <w:rFonts w:ascii="Arial" w:eastAsia="Times New Roman" w:hAnsi="Arial" w:cs="Arial"/>
          <w:bCs/>
          <w:sz w:val="24"/>
          <w:szCs w:val="24"/>
          <w:lang w:val="pt-BR" w:eastAsia="pt-BR"/>
        </w:rPr>
      </w:pPr>
      <w:r w:rsidRPr="008F15A8">
        <w:rPr>
          <w:rFonts w:ascii="Arial" w:eastAsia="Times New Roman" w:hAnsi="Arial" w:cs="Arial"/>
          <w:bCs/>
          <w:sz w:val="24"/>
          <w:szCs w:val="24"/>
          <w:lang w:val="pt-BR" w:eastAsia="pt-BR"/>
        </w:rPr>
        <w:t>Oliveira (2019) evidencia que coordenadores pedagógicos percebem a formação continuada como espaço de avanço e dilemas. Enquanto pode ser um espaço de fortalecimento profissional, também revela tensões quando não há clareza de objetivos ou suporte institucional. Santiago e Amorim (2023) acrescentam que propostas colaborativas e autogestionárias contribuem para maior engajamento dos docentes, diminuindo o isolamento e criando uma rede de apoio pedagógico, elemento essencial para reduzir os riscos de adoecimento.</w:t>
      </w:r>
    </w:p>
    <w:p w14:paraId="63A3EA86" w14:textId="1EBE9354" w:rsidR="00857625" w:rsidRPr="008F15A8" w:rsidRDefault="00857625" w:rsidP="008F15A8">
      <w:pPr>
        <w:spacing w:line="360" w:lineRule="auto"/>
        <w:ind w:firstLine="709"/>
        <w:jc w:val="both"/>
        <w:rPr>
          <w:rFonts w:ascii="Arial" w:eastAsia="Times New Roman" w:hAnsi="Arial" w:cs="Arial"/>
          <w:bCs/>
          <w:sz w:val="24"/>
          <w:szCs w:val="24"/>
          <w:lang w:val="pt-BR" w:eastAsia="pt-BR"/>
        </w:rPr>
      </w:pPr>
      <w:r w:rsidRPr="008F15A8">
        <w:rPr>
          <w:rFonts w:ascii="Arial" w:eastAsia="Times New Roman" w:hAnsi="Arial" w:cs="Arial"/>
          <w:bCs/>
          <w:sz w:val="24"/>
          <w:szCs w:val="24"/>
          <w:lang w:val="pt-BR" w:eastAsia="pt-BR"/>
        </w:rPr>
        <w:t xml:space="preserve">Outro aspecto relevante está na relação entre o trabalho docente e as oportunidades de formação. Santos </w:t>
      </w:r>
      <w:r w:rsidR="00C13152" w:rsidRPr="00C13152">
        <w:rPr>
          <w:rFonts w:ascii="Arial" w:eastAsia="Times New Roman" w:hAnsi="Arial" w:cs="Arial"/>
          <w:bCs/>
          <w:i/>
          <w:sz w:val="24"/>
          <w:szCs w:val="24"/>
          <w:lang w:val="pt-BR" w:eastAsia="pt-BR"/>
        </w:rPr>
        <w:t>et al</w:t>
      </w:r>
      <w:r w:rsidRPr="008F15A8">
        <w:rPr>
          <w:rFonts w:ascii="Arial" w:eastAsia="Times New Roman" w:hAnsi="Arial" w:cs="Arial"/>
          <w:bCs/>
          <w:sz w:val="24"/>
          <w:szCs w:val="24"/>
          <w:lang w:val="pt-BR" w:eastAsia="pt-BR"/>
        </w:rPr>
        <w:t xml:space="preserve">. (2018) defendem que programas contínuos voltados para professores da educação básica são fundamentais para enfrentar o desgaste decorrente da rotina escolar. Ventorim, Pereira e Bitencourt (2023), ao </w:t>
      </w:r>
      <w:r w:rsidRPr="008F15A8">
        <w:rPr>
          <w:rFonts w:ascii="Arial" w:eastAsia="Times New Roman" w:hAnsi="Arial" w:cs="Arial"/>
          <w:bCs/>
          <w:sz w:val="24"/>
          <w:szCs w:val="24"/>
          <w:lang w:val="pt-BR" w:eastAsia="pt-BR"/>
        </w:rPr>
        <w:lastRenderedPageBreak/>
        <w:t>analisarem o contexto da pandemia, reforçam que formações adaptadas à realidade digital ajudaram a reduzir a sobrecarga emocional de professores, oferecendo ferramentas práticas para lidar com o ensino remoto e híbrido.</w:t>
      </w:r>
    </w:p>
    <w:p w14:paraId="2268F697" w14:textId="77777777" w:rsidR="00857625" w:rsidRPr="008F15A8" w:rsidRDefault="00857625" w:rsidP="008F15A8">
      <w:pPr>
        <w:spacing w:line="360" w:lineRule="auto"/>
        <w:ind w:firstLine="709"/>
        <w:jc w:val="both"/>
        <w:rPr>
          <w:rFonts w:ascii="Arial" w:eastAsia="Times New Roman" w:hAnsi="Arial" w:cs="Arial"/>
          <w:bCs/>
          <w:sz w:val="24"/>
          <w:szCs w:val="24"/>
          <w:lang w:val="pt-BR" w:eastAsia="pt-BR"/>
        </w:rPr>
      </w:pPr>
      <w:r w:rsidRPr="008F15A8">
        <w:rPr>
          <w:rFonts w:ascii="Arial" w:eastAsia="Times New Roman" w:hAnsi="Arial" w:cs="Arial"/>
          <w:bCs/>
          <w:sz w:val="24"/>
          <w:szCs w:val="24"/>
          <w:lang w:val="pt-BR" w:eastAsia="pt-BR"/>
        </w:rPr>
        <w:t>A dimensão tecnológica também ocupa lugar central. Silva (2024) aponta que a conexão de saberes no mundo digital amplia as possibilidades de troca de experiências e de construção coletiva de soluções pedagógicas. Esse movimento contribui para que o professor se sinta mais preparado e, consequentemente, menos vulnerável ao esgotamento. Sousa (2023) complementa afirmando que o coordenador pedagógico desempenha papel estratégico na mediação entre as demandas da escola e os processos de formação, articulando suporte e proteção ao docente.</w:t>
      </w:r>
    </w:p>
    <w:p w14:paraId="2FC8C584" w14:textId="77777777" w:rsidR="00857625" w:rsidRPr="008F15A8" w:rsidRDefault="00857625" w:rsidP="008F15A8">
      <w:pPr>
        <w:spacing w:line="360" w:lineRule="auto"/>
        <w:ind w:firstLine="709"/>
        <w:jc w:val="both"/>
        <w:rPr>
          <w:rFonts w:ascii="Arial" w:eastAsia="Times New Roman" w:hAnsi="Arial" w:cs="Arial"/>
          <w:bCs/>
          <w:sz w:val="24"/>
          <w:szCs w:val="24"/>
          <w:lang w:val="pt-BR" w:eastAsia="pt-BR"/>
        </w:rPr>
      </w:pPr>
      <w:r w:rsidRPr="008F15A8">
        <w:rPr>
          <w:rFonts w:ascii="Arial" w:eastAsia="Times New Roman" w:hAnsi="Arial" w:cs="Arial"/>
          <w:bCs/>
          <w:sz w:val="24"/>
          <w:szCs w:val="24"/>
          <w:lang w:val="pt-BR" w:eastAsia="pt-BR"/>
        </w:rPr>
        <w:t>Finalmente, Vital, Queiroz e Urt (2021) propõem um olhar histórico-crítico-cultural para compreender como a formação continuada pode se tornar um caminho de enfrentamento ao adoecimento, ao proporcionar não apenas atualização técnica, mas também reflexão crítica sobre as condições de trabalho. Souza (2023), por sua vez, ressalta que a formação continuada deve ser entendida como processo de qualificação permanente, essencial para preservar o equilíbrio emocional, a motivação e a valorização do professor diante das pressões da profissão.</w:t>
      </w:r>
    </w:p>
    <w:p w14:paraId="7513A3F2" w14:textId="2FDF76C7" w:rsidR="007A545C" w:rsidRPr="008F15A8" w:rsidRDefault="00857625" w:rsidP="008F15A8">
      <w:pPr>
        <w:spacing w:line="360" w:lineRule="auto"/>
        <w:ind w:firstLine="709"/>
        <w:jc w:val="both"/>
        <w:rPr>
          <w:rFonts w:ascii="Arial" w:eastAsia="Times New Roman" w:hAnsi="Arial" w:cs="Arial"/>
          <w:bCs/>
          <w:sz w:val="24"/>
          <w:szCs w:val="24"/>
          <w:lang w:val="pt-BR" w:eastAsia="pt-BR"/>
        </w:rPr>
      </w:pPr>
      <w:r w:rsidRPr="008F15A8">
        <w:rPr>
          <w:rFonts w:ascii="Arial" w:eastAsia="Times New Roman" w:hAnsi="Arial" w:cs="Arial"/>
          <w:bCs/>
          <w:sz w:val="24"/>
          <w:szCs w:val="24"/>
          <w:lang w:val="pt-BR" w:eastAsia="pt-BR"/>
        </w:rPr>
        <w:t xml:space="preserve"> </w:t>
      </w:r>
    </w:p>
    <w:p w14:paraId="0D8581B7" w14:textId="77777777" w:rsidR="007A545C" w:rsidRPr="008F15A8" w:rsidRDefault="007A545C" w:rsidP="008F15A8">
      <w:pPr>
        <w:spacing w:line="360" w:lineRule="auto"/>
        <w:ind w:firstLine="709"/>
        <w:jc w:val="both"/>
        <w:rPr>
          <w:rFonts w:ascii="Arial" w:eastAsia="Times New Roman" w:hAnsi="Arial" w:cs="Arial"/>
          <w:bCs/>
          <w:sz w:val="24"/>
          <w:szCs w:val="24"/>
          <w:lang w:val="pt-BR" w:eastAsia="pt-BR"/>
        </w:rPr>
      </w:pPr>
    </w:p>
    <w:p w14:paraId="226C7F78" w14:textId="77777777" w:rsidR="007A545C" w:rsidRPr="008F15A8" w:rsidRDefault="007A545C" w:rsidP="008F15A8">
      <w:pPr>
        <w:spacing w:line="360" w:lineRule="auto"/>
        <w:ind w:left="720"/>
        <w:rPr>
          <w:rFonts w:ascii="Arial" w:eastAsia="Times New Roman" w:hAnsi="Arial" w:cs="Arial"/>
          <w:bCs/>
          <w:sz w:val="24"/>
          <w:szCs w:val="24"/>
          <w:lang w:val="pt-BR" w:eastAsia="pt-BR"/>
        </w:rPr>
      </w:pPr>
    </w:p>
    <w:p w14:paraId="4BEC30D8" w14:textId="77777777" w:rsidR="00F45082" w:rsidRPr="008F15A8" w:rsidRDefault="00F45082" w:rsidP="008F15A8">
      <w:pPr>
        <w:spacing w:line="360" w:lineRule="auto"/>
        <w:rPr>
          <w:rFonts w:ascii="Arial" w:hAnsi="Arial" w:cs="Arial"/>
          <w:spacing w:val="-2"/>
          <w:sz w:val="24"/>
          <w:szCs w:val="24"/>
        </w:rPr>
      </w:pPr>
    </w:p>
    <w:p w14:paraId="5EAD06BC" w14:textId="3FD0E4F4" w:rsidR="00135365" w:rsidRPr="008F15A8" w:rsidRDefault="00135365" w:rsidP="008F15A8">
      <w:pPr>
        <w:spacing w:line="360" w:lineRule="auto"/>
        <w:rPr>
          <w:rFonts w:ascii="Arial" w:eastAsia="Arial" w:hAnsi="Arial" w:cs="Arial"/>
          <w:b/>
          <w:bCs/>
          <w:spacing w:val="-2"/>
          <w:sz w:val="24"/>
          <w:szCs w:val="24"/>
        </w:rPr>
      </w:pPr>
      <w:r w:rsidRPr="008F15A8">
        <w:rPr>
          <w:rFonts w:ascii="Arial" w:hAnsi="Arial" w:cs="Arial"/>
          <w:spacing w:val="-2"/>
          <w:sz w:val="24"/>
          <w:szCs w:val="24"/>
        </w:rPr>
        <w:br w:type="page"/>
      </w:r>
    </w:p>
    <w:p w14:paraId="41D44796" w14:textId="6ED7C027" w:rsidR="00403306" w:rsidRPr="008F15A8" w:rsidRDefault="008A45B4" w:rsidP="00C13152">
      <w:pPr>
        <w:pStyle w:val="Ttulo2"/>
        <w:tabs>
          <w:tab w:val="left" w:pos="202"/>
          <w:tab w:val="right" w:leader="dot" w:pos="9058"/>
        </w:tabs>
        <w:spacing w:line="360" w:lineRule="auto"/>
        <w:ind w:left="0"/>
        <w:jc w:val="left"/>
        <w:rPr>
          <w:b w:val="0"/>
        </w:rPr>
      </w:pPr>
      <w:bookmarkStart w:id="19" w:name="_Toc210894972"/>
      <w:r>
        <w:rPr>
          <w:spacing w:val="-2"/>
        </w:rPr>
        <w:lastRenderedPageBreak/>
        <w:t xml:space="preserve">3. </w:t>
      </w:r>
      <w:r w:rsidR="00403306" w:rsidRPr="008F15A8">
        <w:rPr>
          <w:spacing w:val="-2"/>
        </w:rPr>
        <w:t>Análise de dados</w:t>
      </w:r>
      <w:bookmarkEnd w:id="19"/>
    </w:p>
    <w:p w14:paraId="033D9E15" w14:textId="77777777" w:rsidR="00403306" w:rsidRPr="008F15A8" w:rsidRDefault="00403306" w:rsidP="00C13152">
      <w:pPr>
        <w:pStyle w:val="12"/>
      </w:pPr>
    </w:p>
    <w:p w14:paraId="1D81A2F3" w14:textId="65F54B8E" w:rsidR="009616AC" w:rsidRPr="008F15A8" w:rsidRDefault="009616AC" w:rsidP="00C13152">
      <w:pPr>
        <w:pStyle w:val="Ttulo2"/>
        <w:spacing w:line="360" w:lineRule="auto"/>
        <w:ind w:left="0"/>
        <w:jc w:val="left"/>
      </w:pPr>
      <w:bookmarkStart w:id="20" w:name="_Toc210894973"/>
      <w:r w:rsidRPr="008F15A8">
        <w:t>3.1 Formação continuada como instrumento de atualização e prevenção do adoecimento</w:t>
      </w:r>
      <w:bookmarkEnd w:id="20"/>
    </w:p>
    <w:p w14:paraId="2DAE13AB" w14:textId="77777777" w:rsidR="008A45B4" w:rsidRDefault="008A45B4" w:rsidP="008F15A8">
      <w:pPr>
        <w:pStyle w:val="NormalWeb"/>
        <w:shd w:val="clear" w:color="auto" w:fill="FFFFFF"/>
        <w:spacing w:before="0" w:beforeAutospacing="0" w:after="0" w:afterAutospacing="0" w:line="360" w:lineRule="auto"/>
        <w:ind w:firstLine="709"/>
        <w:jc w:val="both"/>
        <w:rPr>
          <w:rFonts w:ascii="Arial" w:hAnsi="Arial" w:cs="Arial"/>
          <w:bCs/>
        </w:rPr>
      </w:pPr>
    </w:p>
    <w:p w14:paraId="64CE138B" w14:textId="32D19782"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A formação continuada tem sido amplamente apontada como estratégia essencial para enfrentar os desafios do trabalho docente e prevenir situações de adoecimento. Ferreira e Toman (2020) destacam que iniciativas inclusivas e voltadas para necessidades reais da prática escolar favorecem maior segurança pedagógica e reduzem sentimentos de vulnerabilidade. Essa atualização permanente permite ao professor lidar com as constantes mudanças sociais e educacionais que repercutem diretamente em sua saúde mental.</w:t>
      </w:r>
    </w:p>
    <w:p w14:paraId="50D096D5"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Oliveira (2019) ressalta que, sob a ótica dos coordenadores pedagógicos, a formação continuada se torna um espaço de reflexão e reconstrução de práticas. Esse processo não apenas eleva a qualidade do ensino, mas também reduz o mal-estar docente associado à falta de preparo diante das demandas escolares. A ausência desse suporte tende a intensificar o estresse e a sensação de desvalorização, o que reforça a importância do investimento sistemático em capacitações.</w:t>
      </w:r>
    </w:p>
    <w:p w14:paraId="6D375353"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Já Vital, Queiroz e Urt (2021) analisam a formação sob um olhar histórico-crítico-cultural, ressaltando que ela deve ultrapassar a simples transmissão de conteúdos e se transformar em um processo emancipador. Para os autores, a construção coletiva do conhecimento é um fator de proteção contra o isolamento e contra o adoecimento psíquico do professor. Essa visão amplia a compreensão da formação como espaço de resistência às condições precarizadas de trabalho.</w:t>
      </w:r>
    </w:p>
    <w:p w14:paraId="7E849135"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Na mesma direção, Santiago e Amorim (2023) enfatizam que formações colaborativas e autogestionárias estimulam a autonomia docente e fortalecem vínculos entre pares. Isso gera maior suporte emocional e social, contribuindo para reduzir sintomas de estresse. A gestão coletiva da formação possibilita que os professores se reconheçam como protagonistas, em vez de meros executores de programas predefinidos.</w:t>
      </w:r>
    </w:p>
    <w:p w14:paraId="3EC39A69"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 xml:space="preserve">Sousa (2023), por sua vez, evidencia o papel articulador do coordenador pedagógico nesse processo, mediando as formações de forma a atender demandas específicas da realidade escolar. Quando esse papel é bem desempenhado, cria-se um ambiente de diálogo que reduz tensões e dá ao professor maior clareza sobre </w:t>
      </w:r>
      <w:r w:rsidRPr="008F15A8">
        <w:rPr>
          <w:rFonts w:ascii="Arial" w:hAnsi="Arial" w:cs="Arial"/>
          <w:bCs/>
        </w:rPr>
        <w:lastRenderedPageBreak/>
        <w:t>seus objetivos profissionais. Contudo, em contextos de sobrecarga, essa função pode ser fragilizada, perdendo seu potencial de proteção.</w:t>
      </w:r>
    </w:p>
    <w:p w14:paraId="7107873B"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A pandemia de COVID-19 também trouxe novas camadas a essa discussão. Ventorim, Pereira e Bitencourt (2023) analisam que, nesse período, a formação continuada se tornou vital para que os professores pudessem adaptar suas práticas ao ensino remoto. Essa rápida adequação exigiu suporte técnico e emocional, reforçando a necessidade de formações integradas que contemplassem não só metodologias digitais, mas também a saúde mental dos docentes.</w:t>
      </w:r>
    </w:p>
    <w:p w14:paraId="48DBE183"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Outro aspecto relevante é apontado por Silva (2024), que discute a conexão entre saberes docentes por meio da tecnologia. O autor defende que plataformas digitais podem ampliar o alcance das formações e reduzir a sensação de isolamento profissional. Esse processo, quando bem estruturado, atua como ferramenta de cuidado, possibilitando que o professor compartilhe experiências e estratégias para enfrentar dificuldades comuns.</w:t>
      </w:r>
    </w:p>
    <w:p w14:paraId="36673AD4"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Entretanto, os estudos mostram que a eficácia da formação depende da forma como é implementada. Ferreira e Toman (2020) observam que, quando realizadas de forma burocrática, sem vínculo com a realidade escolar, as formações podem se tornar fontes adicionais de desgaste. Portanto, o desafio está em construir propostas que dialoguem com as demandas práticas e subjetivas do professor, transformando-se em espaços de alívio e não de pressão.</w:t>
      </w:r>
    </w:p>
    <w:p w14:paraId="3148A17F"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Nesse sentido, Oliveira (2019) e Vital, Queiroz e Urt (2021) convergem ao afirmar que a formação deve ir além do técnico, incorporando aspectos críticos e culturais que reconheçam as condições concretas de trabalho. Essa abordagem amplia a consciência coletiva da categoria, permitindo que a formação funcione também como um instrumento de luta por melhores condições laborais. Assim, a atualização contínua se torna aliada da saúde física e emocional.</w:t>
      </w:r>
    </w:p>
    <w:p w14:paraId="4A684DBE"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Por fim, a formação continuada emerge, a partir dessa análise, como uma ponte entre a necessidade de atualização pedagógica e a proteção da saúde mental dos professores. Os autores aqui discutidos convergem na ideia de que programas bem estruturados, colaborativos e críticos podem reduzir estresse, fortalecer vínculos e dar sentido à prática docente. Dessa forma, a formação deixa de ser mera exigência institucional e passa a ocupar um papel central na prevenção do adoecimento e na valorização do professor.</w:t>
      </w:r>
    </w:p>
    <w:p w14:paraId="0395CB08" w14:textId="77777777" w:rsidR="009616AC" w:rsidRPr="008F15A8" w:rsidRDefault="009616AC" w:rsidP="008F15A8">
      <w:pPr>
        <w:pStyle w:val="NormalWeb"/>
        <w:shd w:val="clear" w:color="auto" w:fill="FFFFFF"/>
        <w:spacing w:before="0" w:beforeAutospacing="0" w:after="0" w:afterAutospacing="0" w:line="360" w:lineRule="auto"/>
        <w:jc w:val="both"/>
        <w:rPr>
          <w:rFonts w:ascii="Arial" w:hAnsi="Arial" w:cs="Arial"/>
          <w:bCs/>
        </w:rPr>
      </w:pPr>
    </w:p>
    <w:p w14:paraId="31FDDA72" w14:textId="664D0C8F" w:rsidR="009616AC" w:rsidRPr="008F15A8" w:rsidRDefault="009616AC" w:rsidP="00C13152">
      <w:pPr>
        <w:pStyle w:val="Ttulo2"/>
        <w:spacing w:line="360" w:lineRule="auto"/>
        <w:ind w:left="0"/>
        <w:jc w:val="left"/>
      </w:pPr>
      <w:bookmarkStart w:id="21" w:name="_Toc210894974"/>
      <w:r w:rsidRPr="008F15A8">
        <w:lastRenderedPageBreak/>
        <w:t>3.2 O papel da coordenação pedagógica e do suporte institucional</w:t>
      </w:r>
      <w:bookmarkEnd w:id="21"/>
    </w:p>
    <w:p w14:paraId="01F6A728" w14:textId="77777777" w:rsidR="008A4345" w:rsidRDefault="008A4345" w:rsidP="008A4345">
      <w:pPr>
        <w:pStyle w:val="12"/>
      </w:pPr>
    </w:p>
    <w:p w14:paraId="288DE22D" w14:textId="6B1AE601"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O suporte institucional é apontado como uma das principais condições para que a formação continuada cumpra seu papel protetivo contra o adoecimento docente. Oliveira (2019) mostra que os coordenadores pedagógicos têm papel estratégico na mediação entre as demandas institucionais e as necessidades dos professores. Quando esse suporte é consistente, os professores sentem-se mais acolhidos e menos pressionados pelas exigências externas.</w:t>
      </w:r>
    </w:p>
    <w:p w14:paraId="662A9DF4"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Sousa (2023) destaca a importância do coordenador pedagógico como articulador das formações, sendo responsável por criar pontes entre os professores e a gestão escolar. Esse papel vai além da função burocrática, pois envolve a escuta ativa das demandas docentes e a promoção de espaços de diálogo. Assim, o coordenador pode contribuir para transformar a formação continuada em um processo de cuidado.</w:t>
      </w:r>
    </w:p>
    <w:p w14:paraId="0BFA9008"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Porém, Santiago e Amorim (2023) ressaltam que nem sempre esse suporte é efetivo, pois a sobrecarga de funções atribuídas aos coordenadores pode limitar sua atuação. Nesse cenário, a formação corre o risco de se tornar fragmentada e desvinculada da realidade, gerando mais pressão do que apoio. Isso reforça a necessidade de políticas institucionais que assegurem condições adequadas para que os coordenadores desempenhem seu papel formador.</w:t>
      </w:r>
    </w:p>
    <w:p w14:paraId="26743616"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Ferreira e Toman (2020) acrescentam que iniciativas de formação só são eficazes quando sustentadas por uma estrutura institucional que valorize o professor. Sem o respaldo da gestão escolar, os esforços de capacitação perdem força e deixam de cumprir sua função de proteção. O suporte institucional, portanto, deve envolver tanto recursos materiais quanto condições emocionais e de tempo para a participação efetiva.</w:t>
      </w:r>
    </w:p>
    <w:p w14:paraId="534B9FCA"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Nesse sentido, Vital, Queiroz e Urt (2021) defendem que a formação deve ser encarada como um processo crítico, no qual a gestão escolar desempenha papel fundamental. A ausência de apoio institucional aprofunda sentimentos de desvalorização e isolamento, ampliando os riscos de adoecimento docente. Por isso, a coordenação pedagógica precisa ser fortalecida como elo entre política educacional e prática pedagógica.</w:t>
      </w:r>
    </w:p>
    <w:p w14:paraId="173DF242"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 xml:space="preserve">Ventorim, Pereira e Bitencourt (2023) ilustram esse ponto ao analisar a pandemia de COVID-19, quando muitos professores ficaram desamparados diante da </w:t>
      </w:r>
      <w:r w:rsidRPr="008F15A8">
        <w:rPr>
          <w:rFonts w:ascii="Arial" w:hAnsi="Arial" w:cs="Arial"/>
          <w:bCs/>
        </w:rPr>
        <w:lastRenderedPageBreak/>
        <w:t>transição para o ensino remoto. Em locais onde houve suporte pedagógico consistente, a adaptação ocorreu de forma menos traumática e reduziu o desgaste emocional. Já em contextos sem esse apoio, os índices de estresse e burnout foram mais evidentes.</w:t>
      </w:r>
    </w:p>
    <w:p w14:paraId="3E839AB4"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Silva (2024) reforça que, no contexto atual, o suporte institucional também deve considerar o uso das tecnologias. A integração digital não depende apenas da iniciativa do professor, mas de orientações, acompanhamento e recursos disponibilizados pelas escolas. Assim, a coordenação pedagógica se transforma em um espaço estratégico para unir inovação tecnológica e suporte humano.</w:t>
      </w:r>
    </w:p>
    <w:p w14:paraId="59D2C53A"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Contudo, Oliveira (2019) observa que a relação entre coordenação pedagógica e professores nem sempre é harmoniosa, podendo se tornar fonte de tensões. Isso ocorre quando a formação é imposta sem diálogo, criando um ambiente de cobrança em vez de apoio. Essa situação mostra que a mediação pedagógica deve ser construída coletivamente, respeitando as realidades locais.</w:t>
      </w:r>
    </w:p>
    <w:p w14:paraId="05E53A1C"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Autores como Sousa (2023) e Santiago e Amorim (2023) convergem ao defender a necessidade de autonomia docente dentro das formações, mesmo com o suporte institucional. O equilíbrio entre direcionamento da gestão e liberdade pedagógica é o que garante que o processo não se transforme em mera formalidade. Essa autonomia compartilhada fortalece a motivação e reduz os riscos de adoecimento.</w:t>
      </w:r>
    </w:p>
    <w:p w14:paraId="45F2F733"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Portanto, o papel da coordenação pedagógica e do suporte institucional é central na construção de formações protetivas para a saúde docente. Os autores analisados mostram que, quando estruturado de forma dialógica, crítica e colaborativa, o suporte torna-se um pilar contra o estresse e o burnout. Porém, se negligenciado ou burocratizado, pode se converter em mais uma carga, intensificando o desgaste dos professores.</w:t>
      </w:r>
    </w:p>
    <w:p w14:paraId="3549CC84" w14:textId="682FAC6B" w:rsidR="009616AC" w:rsidRPr="008F15A8" w:rsidRDefault="009616AC" w:rsidP="008A4345">
      <w:pPr>
        <w:pStyle w:val="12"/>
      </w:pPr>
    </w:p>
    <w:p w14:paraId="6B37BCBE" w14:textId="44A2CB88" w:rsidR="009616AC" w:rsidRPr="008F15A8" w:rsidRDefault="009616AC" w:rsidP="00C13152">
      <w:pPr>
        <w:pStyle w:val="Ttulo2"/>
        <w:spacing w:line="360" w:lineRule="auto"/>
        <w:ind w:left="0"/>
        <w:jc w:val="left"/>
      </w:pPr>
      <w:bookmarkStart w:id="22" w:name="_Toc210894975"/>
      <w:r w:rsidRPr="008F15A8">
        <w:t>3.3 Inovação tecnológica e práticas colaborativas como estratégias de enfrentamento</w:t>
      </w:r>
      <w:bookmarkEnd w:id="22"/>
    </w:p>
    <w:p w14:paraId="5A17E6CE" w14:textId="77777777" w:rsidR="008A4345" w:rsidRDefault="008A4345" w:rsidP="008A4345">
      <w:pPr>
        <w:pStyle w:val="12"/>
      </w:pPr>
    </w:p>
    <w:p w14:paraId="2EF07649" w14:textId="03868138"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 xml:space="preserve">A inovação tecnológica vem sendo apontada como ferramenta fundamental para minimizar o desgaste docente e fortalecer práticas de autocuidado profissional. Silva (2024) destaca que a conexão entre professores, mediada por tecnologias digitais, amplia o acesso a novos saberes e favorece o apoio mútuo. Esse processo </w:t>
      </w:r>
      <w:r w:rsidRPr="008F15A8">
        <w:rPr>
          <w:rFonts w:ascii="Arial" w:hAnsi="Arial" w:cs="Arial"/>
          <w:bCs/>
        </w:rPr>
        <w:lastRenderedPageBreak/>
        <w:t>rompe com o isolamento docente, criando redes de suporte que funcionam como proteção contra o adoecimento.</w:t>
      </w:r>
    </w:p>
    <w:p w14:paraId="59F695B3"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Durante a pandemia, Ventorim, Pereira e Bitencourt (2023) analisaram formações continuadas que migraram para ambientes virtuais, revelando tanto desafios quanto oportunidades. Enquanto muitos docentes enfrentaram dificuldades com a adaptação, aqueles que participaram de formações colaborativas online relataram maior segurança emocional. A inovação tecnológica, portanto, mostrou-se um recurso de enfrentamento, desde que acompanhada de suporte pedagógico adequado.</w:t>
      </w:r>
    </w:p>
    <w:p w14:paraId="63D9E34B"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Vital, Queiroz e Urt (2021) enfatizam que a inovação precisa ser entendida em uma perspectiva crítica. O uso de plataformas digitais não deve ser visto apenas como modernização, mas como meio de repensar práticas de ensino e reduzir pressões estruturais. A formação crítica que integra tecnologia contribui para fortalecer a identidade docente e para mitigar sentimentos de desvalorização.</w:t>
      </w:r>
    </w:p>
    <w:p w14:paraId="38F1AA55"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Além disso, Ferreira e Toman (2020) destacam que práticas colaborativas de formação, presenciais ou virtuais, funcionam como espaços de trocas de experiências. Esse modelo formativo evita que os professores enfrentem sozinhos os desafios cotidianos, ampliando a sensação de pertencimento. A colaboração, nesse sentido, tem impacto direto no equilíbrio emocional e no bem-estar coletivo.</w:t>
      </w:r>
    </w:p>
    <w:p w14:paraId="2A2062E9"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Oliveira (2019) acrescenta que a presença de coordenadores pedagógicos nas formações digitais é essencial para garantir coerência metodológica. Quando a inovação tecnológica é acompanhada de orientação institucional, há maior engajamento dos professores e redução de resistências. Assim, tecnologia e suporte pedagógico tornam-se complementares, formando um eixo protetivo contra o adoecimento.</w:t>
      </w:r>
    </w:p>
    <w:p w14:paraId="377F4AEE"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Sousa (2023) reforça esse ponto ao defender que os coordenadores pedagógicos devem ser articuladores também em ambientes virtuais. O desafio é garantir que a tecnologia não aprofunde desigualdades, mas se torne espaço inclusivo de colaboração e aprendizagem. Dessa forma, o suporte institucional mantém-se presente mesmo em contextos mediados por telas.</w:t>
      </w:r>
    </w:p>
    <w:p w14:paraId="296A4E79"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 xml:space="preserve">Santiago e Amorim (2023) lembram que a inovação só se torna significativa quando vinculada a práticas colaborativas que envolvem protagonismo docente. Formações que privilegiam a troca de experiências horizontais estimulam autonomia, </w:t>
      </w:r>
      <w:r w:rsidRPr="008F15A8">
        <w:rPr>
          <w:rFonts w:ascii="Arial" w:hAnsi="Arial" w:cs="Arial"/>
          <w:bCs/>
        </w:rPr>
        <w:lastRenderedPageBreak/>
        <w:t>criatividade e fortalecimento do vínculo profissional. Essas práticas, além de inovadoras, ajudam a reduzir a ansiedade e o estresse relacionados ao trabalho.</w:t>
      </w:r>
    </w:p>
    <w:p w14:paraId="6E5152C5"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A pandemia de COVID-19 mostrou que a ausência de práticas colaborativas digitais intensificou o desgaste emocional dos docentes. Ventorim, Pereira e Bitencourt (2023) destacam que professores que não tiveram acesso a redes de apoio online sofreram maiores impactos em termos de ansiedade e esgotamento. Isso evidencia a necessidade de políticas educacionais que priorizem a inclusão digital como proteção ao bem-estar docente.</w:t>
      </w:r>
    </w:p>
    <w:p w14:paraId="40E12F1A"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Silva (2024) observa ainda que a tecnologia, quando utilizada de forma isolada e sem planejamento, pode aumentar a carga de trabalho. Nesse caso, a inovação perde seu caráter protetivo e se transforma em mais um fator de adoecimento. Portanto, é fundamental que práticas colaborativas sejam integradas de modo consciente, equilibrando inovação com suporte humano.</w:t>
      </w:r>
    </w:p>
    <w:p w14:paraId="19D8C2B4" w14:textId="77777777" w:rsidR="009616AC" w:rsidRPr="008F15A8" w:rsidRDefault="009616AC" w:rsidP="008F15A8">
      <w:pPr>
        <w:pStyle w:val="NormalWeb"/>
        <w:shd w:val="clear" w:color="auto" w:fill="FFFFFF"/>
        <w:spacing w:before="0" w:beforeAutospacing="0" w:after="0" w:afterAutospacing="0" w:line="360" w:lineRule="auto"/>
        <w:ind w:firstLine="709"/>
        <w:jc w:val="both"/>
        <w:rPr>
          <w:rFonts w:ascii="Arial" w:hAnsi="Arial" w:cs="Arial"/>
          <w:bCs/>
        </w:rPr>
      </w:pPr>
      <w:r w:rsidRPr="008F15A8">
        <w:rPr>
          <w:rFonts w:ascii="Arial" w:hAnsi="Arial" w:cs="Arial"/>
          <w:bCs/>
        </w:rPr>
        <w:t>Em síntese, os autores convergem ao apontar que a inovação tecnológica e as práticas colaborativas representam estratégias eficazes de enfrentamento ao adoecimento docente. No entanto, para que cumpram esse papel, precisam ser mediadas por coordenação pedagógica, suporte institucional e perspectiva crítica. Somente assim a tecnologia deixará de ser um fardo e se tornará um recurso para fortalecer a saúde mental e o bem-estar dos professores.</w:t>
      </w:r>
    </w:p>
    <w:p w14:paraId="175847BA" w14:textId="4AEFBA15" w:rsidR="00403306" w:rsidRPr="008F15A8" w:rsidRDefault="00403306" w:rsidP="008F15A8">
      <w:pPr>
        <w:pStyle w:val="NormalWeb"/>
        <w:shd w:val="clear" w:color="auto" w:fill="FFFFFF"/>
        <w:spacing w:before="0" w:beforeAutospacing="0" w:after="0" w:afterAutospacing="0" w:line="360" w:lineRule="auto"/>
        <w:jc w:val="both"/>
        <w:rPr>
          <w:rFonts w:ascii="Arial" w:hAnsi="Arial" w:cs="Arial"/>
          <w:bCs/>
        </w:rPr>
      </w:pPr>
    </w:p>
    <w:p w14:paraId="4F5A3277" w14:textId="77777777" w:rsidR="006C3EEF" w:rsidRPr="008F15A8" w:rsidRDefault="006C3EEF" w:rsidP="008F15A8">
      <w:pPr>
        <w:spacing w:line="360" w:lineRule="auto"/>
        <w:rPr>
          <w:rFonts w:ascii="Arial" w:eastAsia="Arial" w:hAnsi="Arial" w:cs="Arial"/>
          <w:b/>
          <w:bCs/>
          <w:sz w:val="24"/>
          <w:szCs w:val="24"/>
        </w:rPr>
      </w:pPr>
      <w:r w:rsidRPr="008F15A8">
        <w:rPr>
          <w:rFonts w:ascii="Arial" w:hAnsi="Arial" w:cs="Arial"/>
          <w:sz w:val="24"/>
          <w:szCs w:val="24"/>
        </w:rPr>
        <w:br w:type="page"/>
      </w:r>
    </w:p>
    <w:p w14:paraId="4AD70FEA" w14:textId="2F982855" w:rsidR="00135365" w:rsidRPr="008F15A8" w:rsidRDefault="008A4345" w:rsidP="00C13152">
      <w:pPr>
        <w:pStyle w:val="Ttulo2"/>
        <w:tabs>
          <w:tab w:val="left" w:pos="202"/>
          <w:tab w:val="right" w:leader="dot" w:pos="9058"/>
        </w:tabs>
        <w:spacing w:line="360" w:lineRule="auto"/>
        <w:ind w:left="0"/>
        <w:jc w:val="left"/>
        <w:rPr>
          <w:b w:val="0"/>
        </w:rPr>
      </w:pPr>
      <w:bookmarkStart w:id="23" w:name="_Toc210894976"/>
      <w:r>
        <w:lastRenderedPageBreak/>
        <w:t xml:space="preserve">4. </w:t>
      </w:r>
      <w:r w:rsidR="00135365" w:rsidRPr="008F15A8">
        <w:t>Considerações</w:t>
      </w:r>
      <w:r w:rsidR="00135365" w:rsidRPr="008F15A8">
        <w:rPr>
          <w:spacing w:val="-16"/>
        </w:rPr>
        <w:t xml:space="preserve"> </w:t>
      </w:r>
      <w:r w:rsidR="00135365" w:rsidRPr="008F15A8">
        <w:rPr>
          <w:spacing w:val="-2"/>
        </w:rPr>
        <w:t>Finais</w:t>
      </w:r>
      <w:bookmarkEnd w:id="23"/>
      <w:r w:rsidR="00135365" w:rsidRPr="008F15A8">
        <w:rPr>
          <w:spacing w:val="-2"/>
        </w:rPr>
        <w:t xml:space="preserve"> </w:t>
      </w:r>
    </w:p>
    <w:p w14:paraId="0B785DC7" w14:textId="77777777" w:rsidR="00135365" w:rsidRPr="008F15A8" w:rsidRDefault="00135365" w:rsidP="008A4345">
      <w:pPr>
        <w:pStyle w:val="12"/>
      </w:pPr>
    </w:p>
    <w:p w14:paraId="512A1F3D" w14:textId="77777777" w:rsidR="009616AC" w:rsidRPr="008F15A8" w:rsidRDefault="009616AC" w:rsidP="008A4345">
      <w:pPr>
        <w:pStyle w:val="12"/>
        <w:rPr>
          <w:lang w:val="pt-BR" w:eastAsia="pt-BR"/>
        </w:rPr>
      </w:pPr>
      <w:r w:rsidRPr="008F15A8">
        <w:rPr>
          <w:lang w:val="pt-BR" w:eastAsia="pt-BR"/>
        </w:rPr>
        <w:t>O presente estudo teve como foco a análise da saúde mental dos professores, considerando fatores como condições de trabalho, pressões institucionais, desvalorização profissional e ausência de suporte adequado. A pergunta-problema que orientou a pesquisa foi: quais são os fatores que mais influenciam a saúde mental dos professores e de que forma estratégias de prevenção e promoção podem contribuir para seu bem-estar? A investigação, baseada em revisão bibliográfica, permitiu identificar elementos determinantes do adoecimento docente e estratégias de enfrentamento, respondendo de forma consistente à questão proposta.</w:t>
      </w:r>
    </w:p>
    <w:p w14:paraId="57FD4B0A" w14:textId="77777777" w:rsidR="009616AC" w:rsidRPr="008F15A8" w:rsidRDefault="009616AC" w:rsidP="008A4345">
      <w:pPr>
        <w:pStyle w:val="12"/>
        <w:rPr>
          <w:lang w:val="pt-BR" w:eastAsia="pt-BR"/>
        </w:rPr>
      </w:pPr>
      <w:r w:rsidRPr="008F15A8">
        <w:rPr>
          <w:lang w:val="pt-BR" w:eastAsia="pt-BR"/>
        </w:rPr>
        <w:t>Os objetivos específicos foram plenamente contemplados. A identificação dos principais estressores evidenciou aspectos como sobrecarga de trabalho, exigências administrativas e falta de valorização profissional, fatores que convergem para o aumento de estresse, ansiedade e burnout. Essa constatação está em consonância com a literatura analisada, que demonstra a centralidade das condições laborais no desgaste psicológico da categoria docente.</w:t>
      </w:r>
    </w:p>
    <w:p w14:paraId="2B34ABBB" w14:textId="77777777" w:rsidR="009616AC" w:rsidRPr="008F15A8" w:rsidRDefault="009616AC" w:rsidP="008A4345">
      <w:pPr>
        <w:pStyle w:val="12"/>
        <w:rPr>
          <w:lang w:val="pt-BR" w:eastAsia="pt-BR"/>
        </w:rPr>
      </w:pPr>
      <w:r w:rsidRPr="008F15A8">
        <w:rPr>
          <w:lang w:val="pt-BR" w:eastAsia="pt-BR"/>
        </w:rPr>
        <w:t>No que se refere ao mapeamento dos sintomas mais recorrentes, observou-se predominância de quadros de ansiedade, depressão e síndrome de burnout, com manifestações diversas no ambiente escolar. Esses sintomas não apenas comprometem a saúde individual dos professores, mas também repercutem na qualidade do processo educativo. Dessa forma, o estudo atendeu ao objetivo de descrever os impactos psicossociais do adoecimento docente.</w:t>
      </w:r>
    </w:p>
    <w:p w14:paraId="1EACEA65" w14:textId="77777777" w:rsidR="009616AC" w:rsidRPr="008F15A8" w:rsidRDefault="009616AC" w:rsidP="008A4345">
      <w:pPr>
        <w:pStyle w:val="12"/>
        <w:rPr>
          <w:lang w:val="pt-BR" w:eastAsia="pt-BR"/>
        </w:rPr>
      </w:pPr>
      <w:r w:rsidRPr="008F15A8">
        <w:rPr>
          <w:lang w:val="pt-BR" w:eastAsia="pt-BR"/>
        </w:rPr>
        <w:t>Ao relacionar as condições de trabalho com o bem-estar, ficou evidente a influência de fatores estruturais, como múltiplos vínculos empregatícios, salários desmotivadores e infraestrutura precária, na manutenção do equilíbrio mental. Constatou-se que a precarização da profissão fragiliza a motivação e eleva os índices de evasão docente. Esse objetivo foi cumprido ao demonstrar a forte correlação entre o contexto de trabalho e a saúde mental do professor.</w:t>
      </w:r>
    </w:p>
    <w:p w14:paraId="6AA8E6C7" w14:textId="77777777" w:rsidR="009616AC" w:rsidRPr="008F15A8" w:rsidRDefault="009616AC" w:rsidP="008A4345">
      <w:pPr>
        <w:pStyle w:val="12"/>
        <w:rPr>
          <w:lang w:val="pt-BR" w:eastAsia="pt-BR"/>
        </w:rPr>
      </w:pPr>
      <w:r w:rsidRPr="008F15A8">
        <w:rPr>
          <w:lang w:val="pt-BR" w:eastAsia="pt-BR"/>
        </w:rPr>
        <w:t>No tocante às estratégias de enfrentamento, o estudo mostrou que práticas de formação continuada, suporte pedagógico, políticas públicas de valorização e uso crítico da inovação tecnológica podem atuar como medidas protetivas. O autocuidado e a gestão emocional também se revelaram componentes essenciais para a preservação da saúde mental. Assim, o último objetivo específico foi atendido ao propor caminhos de prevenção e promoção do bem-estar docente.</w:t>
      </w:r>
    </w:p>
    <w:p w14:paraId="6CAA4212" w14:textId="77777777" w:rsidR="009616AC" w:rsidRPr="008F15A8" w:rsidRDefault="009616AC" w:rsidP="008A4345">
      <w:pPr>
        <w:pStyle w:val="12"/>
        <w:rPr>
          <w:lang w:val="pt-BR" w:eastAsia="pt-BR"/>
        </w:rPr>
      </w:pPr>
      <w:r w:rsidRPr="008F15A8">
        <w:rPr>
          <w:lang w:val="pt-BR" w:eastAsia="pt-BR"/>
        </w:rPr>
        <w:lastRenderedPageBreak/>
        <w:t>Dessa forma, conclui-se que a pesquisa respondeu de forma satisfatória à pergunta-problema e contemplou todos os objetivos propostos. Entretanto, o estudo também evidenciou lacunas importantes na literatura, sobretudo no que diz respeito às diferenças regionais, à influência das desigualdades socioeconômicas e ao papel da cultura escolar na intensificação do adoecimento. Tais aspectos merecem aprofundamento em futuras investigações.</w:t>
      </w:r>
    </w:p>
    <w:p w14:paraId="5AB5AE50" w14:textId="77777777" w:rsidR="009616AC" w:rsidRPr="008F15A8" w:rsidRDefault="009616AC" w:rsidP="008A4345">
      <w:pPr>
        <w:pStyle w:val="12"/>
        <w:rPr>
          <w:lang w:val="pt-BR" w:eastAsia="pt-BR"/>
        </w:rPr>
      </w:pPr>
      <w:r w:rsidRPr="008F15A8">
        <w:rPr>
          <w:lang w:val="pt-BR" w:eastAsia="pt-BR"/>
        </w:rPr>
        <w:t>Sugere-se que pesquisas futuras adotem metodologias mistas, unindo análises quantitativas e qualitativas, para captar de maneira mais ampla as percepções docentes sobre saúde mental. Estudos longitudinais também seriam relevantes para compreender a evolução do adoecimento e os efeitos de políticas de intervenção ao longo do tempo. Além disso, comparações internacionais poderiam oferecer subsídios para avaliar modelos de suporte docente em diferentes sistemas educacionais.</w:t>
      </w:r>
    </w:p>
    <w:p w14:paraId="06ED23FC" w14:textId="77777777" w:rsidR="009616AC" w:rsidRPr="008F15A8" w:rsidRDefault="009616AC" w:rsidP="008A4345">
      <w:pPr>
        <w:pStyle w:val="12"/>
        <w:rPr>
          <w:lang w:val="pt-BR" w:eastAsia="pt-BR"/>
        </w:rPr>
      </w:pPr>
      <w:r w:rsidRPr="008F15A8">
        <w:rPr>
          <w:lang w:val="pt-BR" w:eastAsia="pt-BR"/>
        </w:rPr>
        <w:t>Por fim, cabe reforçar que a valorização da saúde mental docente deve ser entendida como parte indissociável da qualidade da educação. Investir em políticas públicas de valorização, suporte institucional e práticas de prevenção é investir no fortalecimento de todo o sistema escolar. O presente estudo buscou contribuir com esse debate, fornecendo subsídios teóricos e práticos que poderão orientar não apenas novas pesquisas, mas também a formulação de políticas educacionais mais humanas e eficazes.</w:t>
      </w:r>
    </w:p>
    <w:p w14:paraId="0CB53406" w14:textId="77777777" w:rsidR="00135365" w:rsidRPr="00403306" w:rsidRDefault="00135365" w:rsidP="00135365">
      <w:pPr>
        <w:pStyle w:val="Ttulo2"/>
        <w:tabs>
          <w:tab w:val="left" w:pos="201"/>
          <w:tab w:val="right" w:leader="dot" w:pos="9075"/>
        </w:tabs>
        <w:spacing w:before="459"/>
        <w:rPr>
          <w:b w:val="0"/>
          <w:lang w:val="pt-BR"/>
        </w:rPr>
      </w:pPr>
    </w:p>
    <w:p w14:paraId="52DBA130"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4B1C5216" w14:textId="7D4EC607" w:rsidR="00135365" w:rsidRPr="00403306" w:rsidRDefault="00135365" w:rsidP="00C13152">
      <w:pPr>
        <w:pStyle w:val="Ttulo2"/>
        <w:tabs>
          <w:tab w:val="right" w:leader="dot" w:pos="9074"/>
        </w:tabs>
        <w:spacing w:line="360" w:lineRule="auto"/>
        <w:ind w:left="0"/>
        <w:jc w:val="left"/>
        <w:rPr>
          <w:spacing w:val="-2"/>
        </w:rPr>
      </w:pPr>
      <w:bookmarkStart w:id="24" w:name="_Toc210894977"/>
      <w:r w:rsidRPr="00403306">
        <w:rPr>
          <w:spacing w:val="-2"/>
        </w:rPr>
        <w:lastRenderedPageBreak/>
        <w:t>Referências</w:t>
      </w:r>
      <w:bookmarkEnd w:id="24"/>
    </w:p>
    <w:p w14:paraId="05687DAE" w14:textId="77777777" w:rsidR="009616AC" w:rsidRDefault="009616AC" w:rsidP="009616AC">
      <w:pPr>
        <w:pStyle w:val="NormalWeb"/>
        <w:shd w:val="clear" w:color="auto" w:fill="FFFFFF"/>
        <w:spacing w:before="0" w:beforeAutospacing="0" w:after="240" w:afterAutospacing="0"/>
        <w:rPr>
          <w:rFonts w:ascii="Arial" w:hAnsi="Arial" w:cs="Arial"/>
        </w:rPr>
      </w:pPr>
    </w:p>
    <w:p w14:paraId="3C2503D4" w14:textId="77777777" w:rsidR="00C13152" w:rsidRPr="00C13152" w:rsidRDefault="00C13152" w:rsidP="00C13152">
      <w:pPr>
        <w:pStyle w:val="NormalWeb"/>
        <w:widowControl w:val="0"/>
        <w:shd w:val="clear" w:color="auto" w:fill="FFFFFF"/>
        <w:spacing w:before="0" w:beforeAutospacing="0" w:after="240" w:afterAutospacing="0"/>
        <w:rPr>
          <w:rFonts w:ascii="Arial" w:hAnsi="Arial" w:cs="Arial"/>
          <w:lang w:val="en-US"/>
        </w:rPr>
      </w:pPr>
      <w:r w:rsidRPr="00C46AAE">
        <w:rPr>
          <w:rFonts w:ascii="Arial" w:hAnsi="Arial" w:cs="Arial"/>
          <w:lang w:val="pt-PT"/>
        </w:rPr>
        <w:t xml:space="preserve">AGYAPONG, B.; OBUOBI-DONKOR, G.; BURBACK, L.; WEI, Y. Stress, burnout, anxiety and depression among teachers: a scoping review. </w:t>
      </w:r>
      <w:r w:rsidRPr="00C46AAE">
        <w:rPr>
          <w:rFonts w:ascii="Arial" w:hAnsi="Arial" w:cs="Arial"/>
          <w:b/>
          <w:bCs/>
          <w:lang w:val="pt-PT"/>
        </w:rPr>
        <w:t>International Journal of Environmental Research and Public Health</w:t>
      </w:r>
      <w:r w:rsidRPr="00C46AAE">
        <w:rPr>
          <w:rFonts w:ascii="Arial" w:hAnsi="Arial" w:cs="Arial"/>
          <w:lang w:val="pt-PT"/>
        </w:rPr>
        <w:t>, v. 19, n. 17, p. 10706, 2022. DOI: 10.3390/ijerph191710706. PMID: 36078422; PMCID: PMC9518388.</w:t>
      </w:r>
    </w:p>
    <w:p w14:paraId="7310A5E4"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ALMEIDA, J.; MERETT, F.; FREIRE, J. Ser professor no ensino superior: reflexões sobre a motivação para a docência. </w:t>
      </w:r>
      <w:r w:rsidRPr="00C13152">
        <w:rPr>
          <w:rStyle w:val="Forte"/>
          <w:rFonts w:ascii="Arial" w:hAnsi="Arial" w:cs="Arial"/>
        </w:rPr>
        <w:t>Contribuciones a las Ciencias Sociales</w:t>
      </w:r>
      <w:r w:rsidRPr="00C13152">
        <w:rPr>
          <w:rFonts w:ascii="Arial" w:hAnsi="Arial" w:cs="Arial"/>
        </w:rPr>
        <w:t>, v. 16, n. 9, p. 17042-17060, 2023. DOI: 10.55905/revconv.16n.9-192.</w:t>
      </w:r>
    </w:p>
    <w:p w14:paraId="60B91FC6"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ANDREAS, Y.; WULANDARI, P.; PANDJAITAN, L. ‘When teachers become students’: enhancing the engagement of public senior high school XY Kediri teachers during online learning. </w:t>
      </w:r>
      <w:r w:rsidRPr="00C13152">
        <w:rPr>
          <w:rStyle w:val="Forte"/>
          <w:rFonts w:ascii="Arial" w:hAnsi="Arial" w:cs="Arial"/>
        </w:rPr>
        <w:t>Psikostudia Jurnal Psikologi</w:t>
      </w:r>
      <w:r w:rsidRPr="00C13152">
        <w:rPr>
          <w:rFonts w:ascii="Arial" w:hAnsi="Arial" w:cs="Arial"/>
        </w:rPr>
        <w:t>, v. 10, n. 3, p. 273, 2021. DOI: 10.30872/psikostudia.v10i3.6217.</w:t>
      </w:r>
    </w:p>
    <w:p w14:paraId="3904EA30" w14:textId="5EA17E15"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ANJOS, J. </w:t>
      </w:r>
      <w:r w:rsidRPr="00C13152">
        <w:rPr>
          <w:rFonts w:ascii="Arial" w:hAnsi="Arial" w:cs="Arial"/>
          <w:i/>
        </w:rPr>
        <w:t>et al</w:t>
      </w:r>
      <w:r w:rsidRPr="00C13152">
        <w:rPr>
          <w:rFonts w:ascii="Arial" w:hAnsi="Arial" w:cs="Arial"/>
        </w:rPr>
        <w:t xml:space="preserve">. Significado da enfermagem no Programa de Saúde na Escola (PSE) pós pandemia da COVID-19: um relato de experiência. </w:t>
      </w:r>
      <w:r w:rsidRPr="00C13152">
        <w:rPr>
          <w:rStyle w:val="Forte"/>
          <w:rFonts w:ascii="Arial" w:hAnsi="Arial" w:cs="Arial"/>
        </w:rPr>
        <w:t>Revista Eletrônica Acervo Saúde</w:t>
      </w:r>
      <w:r w:rsidRPr="00C13152">
        <w:rPr>
          <w:rFonts w:ascii="Arial" w:hAnsi="Arial" w:cs="Arial"/>
        </w:rPr>
        <w:t>, v. 15, n. 6, p. e10566, 2022. DOI: 10.25248/reas.e10566.2022.</w:t>
      </w:r>
    </w:p>
    <w:p w14:paraId="0C990590"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ASAMOAH, M.; AGYEKUM, B.; ADU-MARFO, A.; ESHUN, S. Educational leadership flaws during the COVID-19 pandemic: implications for online learning in the 21st century. </w:t>
      </w:r>
      <w:r w:rsidRPr="00C13152">
        <w:rPr>
          <w:rStyle w:val="Forte"/>
          <w:rFonts w:ascii="Arial" w:hAnsi="Arial" w:cs="Arial"/>
        </w:rPr>
        <w:t>Preprint</w:t>
      </w:r>
      <w:r w:rsidRPr="00C13152">
        <w:rPr>
          <w:rFonts w:ascii="Arial" w:hAnsi="Arial" w:cs="Arial"/>
        </w:rPr>
        <w:t>, 2025. DOI: 10.21203/rs.3.rs-5932755/v1.</w:t>
      </w:r>
    </w:p>
    <w:p w14:paraId="65771BC9"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BARBOSA, A.; FERNANDES, M.; CUNHA, R.; AGUIAR, T. Tempo de trabalho e de ensino: composição da jornada de trabalho dos professores paulistas. </w:t>
      </w:r>
      <w:r w:rsidRPr="00C13152">
        <w:rPr>
          <w:rStyle w:val="Forte"/>
          <w:rFonts w:ascii="Arial" w:hAnsi="Arial" w:cs="Arial"/>
        </w:rPr>
        <w:t>Educação e Pesquisa</w:t>
      </w:r>
      <w:r w:rsidRPr="00C13152">
        <w:rPr>
          <w:rFonts w:ascii="Arial" w:hAnsi="Arial" w:cs="Arial"/>
        </w:rPr>
        <w:t>, v. 47, 2021. DOI: 10.1590/s1678-4634202147235807.</w:t>
      </w:r>
    </w:p>
    <w:p w14:paraId="2571C9E2" w14:textId="58E7FAC6"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BARBOSA, M. </w:t>
      </w:r>
      <w:r w:rsidRPr="00C13152">
        <w:rPr>
          <w:rFonts w:ascii="Arial" w:hAnsi="Arial" w:cs="Arial"/>
          <w:i/>
        </w:rPr>
        <w:t>et al</w:t>
      </w:r>
      <w:r w:rsidRPr="00C13152">
        <w:rPr>
          <w:rFonts w:ascii="Arial" w:hAnsi="Arial" w:cs="Arial"/>
        </w:rPr>
        <w:t xml:space="preserve">. Síndrome de burnout em profissionais da saúde no contexto da pandemia por COVID-19: revisão integrativa. </w:t>
      </w:r>
      <w:r w:rsidRPr="00C13152">
        <w:rPr>
          <w:rStyle w:val="Forte"/>
          <w:rFonts w:ascii="Arial" w:hAnsi="Arial" w:cs="Arial"/>
        </w:rPr>
        <w:t>Brazilian Journal of Development</w:t>
      </w:r>
      <w:r w:rsidRPr="00C13152">
        <w:rPr>
          <w:rFonts w:ascii="Arial" w:hAnsi="Arial" w:cs="Arial"/>
        </w:rPr>
        <w:t>, v. 7, n. 8, p. 85508-85520, 2021. DOI: 10.34117/bjdv7n8-656.</w:t>
      </w:r>
    </w:p>
    <w:p w14:paraId="195AB11B" w14:textId="77777777" w:rsidR="00C13152" w:rsidRPr="00C46AAE" w:rsidRDefault="00C13152" w:rsidP="00C13152">
      <w:pPr>
        <w:pStyle w:val="NormalWeb"/>
        <w:widowControl w:val="0"/>
        <w:spacing w:before="0" w:beforeAutospacing="0" w:after="240" w:afterAutospacing="0"/>
        <w:rPr>
          <w:rFonts w:ascii="Arial" w:hAnsi="Arial" w:cs="Arial"/>
        </w:rPr>
      </w:pPr>
      <w:r w:rsidRPr="00C46AAE">
        <w:rPr>
          <w:rFonts w:ascii="Arial" w:hAnsi="Arial" w:cs="Arial"/>
        </w:rPr>
        <w:t xml:space="preserve">BARDIN, Laurence. </w:t>
      </w:r>
      <w:r w:rsidRPr="00C46AAE">
        <w:rPr>
          <w:rStyle w:val="Forte"/>
          <w:rFonts w:ascii="Arial" w:hAnsi="Arial" w:cs="Arial"/>
        </w:rPr>
        <w:t>Análise de conteúdo</w:t>
      </w:r>
      <w:r w:rsidRPr="00C46AAE">
        <w:rPr>
          <w:rFonts w:ascii="Arial" w:hAnsi="Arial" w:cs="Arial"/>
        </w:rPr>
        <w:t xml:space="preserve">. Tradução de Luís Antero Reto e Augusto Pinheiro. 3. reimp. da 1. ed. São Paulo: Edições 70, 2016. ISBN 978-85-62938-04-7. Disponível em: </w:t>
      </w:r>
      <w:hyperlink r:id="rId9" w:tgtFrame="_new" w:history="1">
        <w:r w:rsidRPr="00C46AAE">
          <w:rPr>
            <w:rStyle w:val="Hyperlink"/>
            <w:rFonts w:ascii="Arial" w:hAnsi="Arial" w:cs="Arial"/>
            <w:color w:val="auto"/>
            <w:u w:val="none"/>
          </w:rPr>
          <w:t>https://madmunifacs.wordpress.com/wp-content/uploads/2016/08/anc3a1lise-de-contec3bado-laurence-bardin.pdf</w:t>
        </w:r>
      </w:hyperlink>
      <w:r w:rsidRPr="00C46AAE">
        <w:rPr>
          <w:rFonts w:ascii="Arial" w:hAnsi="Arial" w:cs="Arial"/>
        </w:rPr>
        <w:t>. Acesso em: 5 nov. 2025.</w:t>
      </w:r>
    </w:p>
    <w:p w14:paraId="47490FA8"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BATISTA, J.; CARLOTTO, M.; COUTINHO, A.; AUGUSTO, L. Prevalência da síndrome de burnout e fatores sociodemográficos e laborais em professores de escolas municipais da cidade de João Pessoa, PB. </w:t>
      </w:r>
      <w:r w:rsidRPr="00C13152">
        <w:rPr>
          <w:rStyle w:val="Forte"/>
          <w:rFonts w:ascii="Arial" w:hAnsi="Arial" w:cs="Arial"/>
        </w:rPr>
        <w:t>Revista Brasileira de Epidemiologia</w:t>
      </w:r>
      <w:r w:rsidRPr="00C13152">
        <w:rPr>
          <w:rFonts w:ascii="Arial" w:hAnsi="Arial" w:cs="Arial"/>
        </w:rPr>
        <w:t>, v. 13, n. 3, p. 502-512, 2010. DOI: 10.1590/S1415-790X2010000300013.</w:t>
      </w:r>
    </w:p>
    <w:p w14:paraId="58EA785F"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BISPO, J.; MOLESINI, J.; PITTA, A. Centros de atenção psicossocial da Bahia: vínculos empregatícios. </w:t>
      </w:r>
      <w:r w:rsidRPr="00C13152">
        <w:rPr>
          <w:rStyle w:val="Forte"/>
          <w:rFonts w:ascii="Arial" w:hAnsi="Arial" w:cs="Arial"/>
        </w:rPr>
        <w:t>Revista Baiana de Saúde Pública</w:t>
      </w:r>
      <w:r w:rsidRPr="00C13152">
        <w:rPr>
          <w:rFonts w:ascii="Arial" w:hAnsi="Arial" w:cs="Arial"/>
        </w:rPr>
        <w:t>, v. 40, n. 3, 2017. DOI: 10.22278/2318-2660.2016.v40.n3.a2461.</w:t>
      </w:r>
    </w:p>
    <w:p w14:paraId="3618B445"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CARVALHO, F. A saúde vai à escola: a promoção da saúde em práticas pedagógicas. </w:t>
      </w:r>
      <w:r w:rsidRPr="00C13152">
        <w:rPr>
          <w:rStyle w:val="Forte"/>
          <w:rFonts w:ascii="Arial" w:hAnsi="Arial" w:cs="Arial"/>
        </w:rPr>
        <w:t>Physis: Revista de Saúde Coletiva</w:t>
      </w:r>
      <w:r w:rsidRPr="00C13152">
        <w:rPr>
          <w:rFonts w:ascii="Arial" w:hAnsi="Arial" w:cs="Arial"/>
        </w:rPr>
        <w:t xml:space="preserve">, v. 25, n. 4, p. 1207-1227, 2015. </w:t>
      </w:r>
      <w:r w:rsidRPr="00C13152">
        <w:rPr>
          <w:rFonts w:ascii="Arial" w:hAnsi="Arial" w:cs="Arial"/>
        </w:rPr>
        <w:lastRenderedPageBreak/>
        <w:t>DOI: 10.1590/S0103-73312015000400009.</w:t>
      </w:r>
    </w:p>
    <w:p w14:paraId="6CC89A26"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CORMIER, C.; MCGREW, J.; RUBLE, L.; FISCHER, M. Socially distanced teaching: the mental health impact of the COVID</w:t>
      </w:r>
      <w:r w:rsidRPr="00C13152">
        <w:rPr>
          <w:rFonts w:ascii="Cambria Math" w:hAnsi="Cambria Math" w:cs="Cambria Math"/>
        </w:rPr>
        <w:t>‐</w:t>
      </w:r>
      <w:r w:rsidRPr="00C13152">
        <w:rPr>
          <w:rFonts w:ascii="Arial" w:hAnsi="Arial" w:cs="Arial"/>
        </w:rPr>
        <w:t xml:space="preserve">19 pandemic on special education teachers. </w:t>
      </w:r>
      <w:r w:rsidRPr="00C13152">
        <w:rPr>
          <w:rStyle w:val="Forte"/>
          <w:rFonts w:ascii="Arial" w:hAnsi="Arial" w:cs="Arial"/>
        </w:rPr>
        <w:t>Journal of Community Psychology</w:t>
      </w:r>
      <w:r w:rsidRPr="00C13152">
        <w:rPr>
          <w:rFonts w:ascii="Arial" w:hAnsi="Arial" w:cs="Arial"/>
        </w:rPr>
        <w:t>, v. 50, n. 3, p. 1768-1772, 2021. DOI: 10.1002/jcop.22736.</w:t>
      </w:r>
    </w:p>
    <w:p w14:paraId="66CE90E6"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DALCIN, L.; CARLOTTO, M. Avaliação de efeito de uma intervenção para a síndrome de burnout em professores. </w:t>
      </w:r>
      <w:r w:rsidRPr="00C13152">
        <w:rPr>
          <w:rStyle w:val="Forte"/>
          <w:rFonts w:ascii="Arial" w:hAnsi="Arial" w:cs="Arial"/>
        </w:rPr>
        <w:t>Psicologia Escolar e Educacional</w:t>
      </w:r>
      <w:r w:rsidRPr="00C13152">
        <w:rPr>
          <w:rFonts w:ascii="Arial" w:hAnsi="Arial" w:cs="Arial"/>
        </w:rPr>
        <w:t>, v. 22, n. 1, p. 141-150, 2018a. DOI: 10.1590/2175-35392018013718.</w:t>
      </w:r>
    </w:p>
    <w:p w14:paraId="1D99B361"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DALCIN, L.; CARLOTTO, M. Síndrome de burnout em professores no Brasil: considerações para uma agenda de pesquisa. </w:t>
      </w:r>
      <w:r w:rsidRPr="00C13152">
        <w:rPr>
          <w:rStyle w:val="Forte"/>
          <w:rFonts w:ascii="Arial" w:hAnsi="Arial" w:cs="Arial"/>
        </w:rPr>
        <w:t>Psicologia em Revista</w:t>
      </w:r>
      <w:r w:rsidRPr="00C13152">
        <w:rPr>
          <w:rFonts w:ascii="Arial" w:hAnsi="Arial" w:cs="Arial"/>
        </w:rPr>
        <w:t>, v. 23, n. 2, p. 745-770, 2018b. DOI: 10.5752/p.1678-9563.2017v23n2p745-770.</w:t>
      </w:r>
    </w:p>
    <w:p w14:paraId="2C835254"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DOLGOPOLOVA, A.; MANUKHINA, A. Psychological and pedagogical prevention of teachers’ emotional burnout. </w:t>
      </w:r>
      <w:r w:rsidRPr="00C13152">
        <w:rPr>
          <w:rStyle w:val="Forte"/>
          <w:rFonts w:ascii="Arial" w:hAnsi="Arial" w:cs="Arial"/>
        </w:rPr>
        <w:t>Vestnik of Samara State Technical University. Psychological and Pedagogical Sciences</w:t>
      </w:r>
      <w:r w:rsidRPr="00C13152">
        <w:rPr>
          <w:rFonts w:ascii="Arial" w:hAnsi="Arial" w:cs="Arial"/>
        </w:rPr>
        <w:t>, v. 17, n. 2, p. 75-86, 2020. DOI: 10.17673/vsgtu-pps.2020.2.6.</w:t>
      </w:r>
    </w:p>
    <w:p w14:paraId="44FA1BEF"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ESTRELA, D. Perfil e percepções de professores atuantes no ensino de química em escolas públicas e particulares de municípios da micro-região de Pires do Rio – Goiás. </w:t>
      </w:r>
      <w:r w:rsidRPr="00C13152">
        <w:rPr>
          <w:rStyle w:val="Forte"/>
          <w:rFonts w:ascii="Arial" w:hAnsi="Arial" w:cs="Arial"/>
        </w:rPr>
        <w:t>Multi-Science Journal</w:t>
      </w:r>
      <w:r w:rsidRPr="00C13152">
        <w:rPr>
          <w:rFonts w:ascii="Arial" w:hAnsi="Arial" w:cs="Arial"/>
        </w:rPr>
        <w:t>, v. 1, n. 1, p. 134-143, 2018. DOI: 10.33837/msj.v1i1.597.</w:t>
      </w:r>
    </w:p>
    <w:p w14:paraId="4A0E7B3D" w14:textId="61942C4A"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FABRI, J. </w:t>
      </w:r>
      <w:r w:rsidRPr="00C13152">
        <w:rPr>
          <w:rFonts w:ascii="Arial" w:hAnsi="Arial" w:cs="Arial"/>
          <w:i/>
        </w:rPr>
        <w:t>et al</w:t>
      </w:r>
      <w:r w:rsidRPr="00C13152">
        <w:rPr>
          <w:rFonts w:ascii="Arial" w:hAnsi="Arial" w:cs="Arial"/>
        </w:rPr>
        <w:t xml:space="preserve">. Estresse ocupacional em enfermeiros da pediatria: manifestações físicas e psicológicas. </w:t>
      </w:r>
      <w:r w:rsidRPr="00C13152">
        <w:rPr>
          <w:rStyle w:val="Forte"/>
          <w:rFonts w:ascii="Arial" w:hAnsi="Arial" w:cs="Arial"/>
        </w:rPr>
        <w:t>Revista Baiana de Enfermagem</w:t>
      </w:r>
      <w:r w:rsidRPr="00C13152">
        <w:rPr>
          <w:rFonts w:ascii="Arial" w:hAnsi="Arial" w:cs="Arial"/>
        </w:rPr>
        <w:t>, v. 32, 2018. DOI: 10.18471/rbe.v32.25070.</w:t>
      </w:r>
    </w:p>
    <w:p w14:paraId="289A9DB7" w14:textId="569243C6"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FERNANDES, D. </w:t>
      </w:r>
      <w:r w:rsidRPr="00C13152">
        <w:rPr>
          <w:rFonts w:ascii="Arial" w:hAnsi="Arial" w:cs="Arial"/>
          <w:i/>
        </w:rPr>
        <w:t>et al</w:t>
      </w:r>
      <w:r w:rsidRPr="00C13152">
        <w:rPr>
          <w:rFonts w:ascii="Arial" w:hAnsi="Arial" w:cs="Arial"/>
        </w:rPr>
        <w:t xml:space="preserve">. Abordagens em saúde mental para crianças no ambiente escolar: um relato de experiência. </w:t>
      </w:r>
      <w:r w:rsidRPr="00C13152">
        <w:rPr>
          <w:rStyle w:val="Forte"/>
          <w:rFonts w:ascii="Arial" w:hAnsi="Arial" w:cs="Arial"/>
        </w:rPr>
        <w:t>Revista de APS</w:t>
      </w:r>
      <w:r w:rsidRPr="00C13152">
        <w:rPr>
          <w:rFonts w:ascii="Arial" w:hAnsi="Arial" w:cs="Arial"/>
        </w:rPr>
        <w:t>, v. 26, 2024. DOI: 10.34019/1809-8363.2023.v26.40624.</w:t>
      </w:r>
    </w:p>
    <w:p w14:paraId="4EA1450E"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FERNANDES, E.; DUMKE, G.; MAZON, L.; MENDONÇA, B. Saúde na escola: a inserção do kundalini yoga como prática de cuidado. </w:t>
      </w:r>
      <w:r w:rsidRPr="00C13152">
        <w:rPr>
          <w:rStyle w:val="Forte"/>
          <w:rFonts w:ascii="Arial" w:hAnsi="Arial" w:cs="Arial"/>
        </w:rPr>
        <w:t>Revista de Enfermagem UFPE on Line</w:t>
      </w:r>
      <w:r w:rsidRPr="00C13152">
        <w:rPr>
          <w:rFonts w:ascii="Arial" w:hAnsi="Arial" w:cs="Arial"/>
        </w:rPr>
        <w:t>, v. 15, n. 1, 2021. DOI: 10.5205/1981-8963.2021.246133.</w:t>
      </w:r>
    </w:p>
    <w:p w14:paraId="1BE3002E"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FERREIRA, G.; TOMAN, A. Educação especial e inclusão: o que mostram as iniciativas de formação continuada? </w:t>
      </w:r>
      <w:r w:rsidRPr="00C13152">
        <w:rPr>
          <w:rStyle w:val="Forte"/>
          <w:rFonts w:ascii="Arial" w:hAnsi="Arial" w:cs="Arial"/>
        </w:rPr>
        <w:t>Revista Docência e Cibercultura</w:t>
      </w:r>
      <w:r w:rsidRPr="00C13152">
        <w:rPr>
          <w:rFonts w:ascii="Arial" w:hAnsi="Arial" w:cs="Arial"/>
        </w:rPr>
        <w:t>, v. 4, n. 3, p. 367-386, 2020. DOI: 10.12957/redoc.2020.54811.</w:t>
      </w:r>
    </w:p>
    <w:p w14:paraId="6E8AB33C"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FIALHE, S.; RODRIGUES, K. Intervenções da psicologia frente à ansiedade infantil no ambiente escolar. </w:t>
      </w:r>
      <w:r w:rsidRPr="00C13152">
        <w:rPr>
          <w:rStyle w:val="Forte"/>
          <w:rFonts w:ascii="Arial" w:hAnsi="Arial" w:cs="Arial"/>
        </w:rPr>
        <w:t>Revista Saúde Multidisciplinar</w:t>
      </w:r>
      <w:r w:rsidRPr="00C13152">
        <w:rPr>
          <w:rFonts w:ascii="Arial" w:hAnsi="Arial" w:cs="Arial"/>
        </w:rPr>
        <w:t>, v. 15, n. 2, 2023. DOI: 10.53740/rsm.v15i2.689.</w:t>
      </w:r>
    </w:p>
    <w:p w14:paraId="5A0AEC6C"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FRANCO, M.; FERNANDES, M.; MILLÃO, L. Perfil de enfermeiros-professores da educação profissional técnica de nível médio em enfermagem. </w:t>
      </w:r>
      <w:r w:rsidRPr="00C13152">
        <w:rPr>
          <w:rStyle w:val="Forte"/>
          <w:rFonts w:ascii="Arial" w:hAnsi="Arial" w:cs="Arial"/>
        </w:rPr>
        <w:t>Saúde Coletiva (Barueri)</w:t>
      </w:r>
      <w:r w:rsidRPr="00C13152">
        <w:rPr>
          <w:rFonts w:ascii="Arial" w:hAnsi="Arial" w:cs="Arial"/>
        </w:rPr>
        <w:t>, v. 10, n. 56, p. 3164-3175, 2020. DOI: 10.36489/saudecoletiva.2020v10i56p3164-3175.</w:t>
      </w:r>
    </w:p>
    <w:p w14:paraId="701CCD2A" w14:textId="3D03E815"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FREITAS, R. </w:t>
      </w:r>
      <w:r w:rsidRPr="00C13152">
        <w:rPr>
          <w:rFonts w:ascii="Arial" w:hAnsi="Arial" w:cs="Arial"/>
          <w:i/>
        </w:rPr>
        <w:t>et al</w:t>
      </w:r>
      <w:r w:rsidRPr="00C13152">
        <w:rPr>
          <w:rFonts w:ascii="Arial" w:hAnsi="Arial" w:cs="Arial"/>
        </w:rPr>
        <w:t xml:space="preserve">. Preditores da síndrome de burnout em técnicos de enfermagem de unidade de terapia intensiva durante a pandemia da covid-19. </w:t>
      </w:r>
      <w:r w:rsidRPr="00C13152">
        <w:rPr>
          <w:rStyle w:val="Forte"/>
          <w:rFonts w:ascii="Arial" w:hAnsi="Arial" w:cs="Arial"/>
        </w:rPr>
        <w:t xml:space="preserve">Jornal Brasileiro </w:t>
      </w:r>
      <w:r w:rsidRPr="00C13152">
        <w:rPr>
          <w:rStyle w:val="Forte"/>
          <w:rFonts w:ascii="Arial" w:hAnsi="Arial" w:cs="Arial"/>
        </w:rPr>
        <w:lastRenderedPageBreak/>
        <w:t>de Psiquiatria</w:t>
      </w:r>
      <w:r w:rsidRPr="00C13152">
        <w:rPr>
          <w:rFonts w:ascii="Arial" w:hAnsi="Arial" w:cs="Arial"/>
        </w:rPr>
        <w:t>, v. 70, n. 1, p. 12-20, 2021. DOI: 10.1590/0047-2085000000313.</w:t>
      </w:r>
    </w:p>
    <w:p w14:paraId="1BF7AD9C" w14:textId="2EDA3E08"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FREITAS, R. </w:t>
      </w:r>
      <w:r w:rsidRPr="00C13152">
        <w:rPr>
          <w:rFonts w:ascii="Arial" w:hAnsi="Arial" w:cs="Arial"/>
          <w:i/>
        </w:rPr>
        <w:t>et al</w:t>
      </w:r>
      <w:r w:rsidRPr="00C13152">
        <w:rPr>
          <w:rFonts w:ascii="Arial" w:hAnsi="Arial" w:cs="Arial"/>
        </w:rPr>
        <w:t xml:space="preserve">. Prevalência e fatores associados aos sintomas de depressão, ansiedade e estresse em professores universitários durante a pandemia da COVID-19. </w:t>
      </w:r>
      <w:r w:rsidRPr="00C13152">
        <w:rPr>
          <w:rStyle w:val="Forte"/>
          <w:rFonts w:ascii="Arial" w:hAnsi="Arial" w:cs="Arial"/>
        </w:rPr>
        <w:t>Jornal Brasileiro de Psiquiatria</w:t>
      </w:r>
      <w:r w:rsidRPr="00C13152">
        <w:rPr>
          <w:rFonts w:ascii="Arial" w:hAnsi="Arial" w:cs="Arial"/>
        </w:rPr>
        <w:t>, v. 70, n. 4, p. 283-292, 2021. DOI: 10.1590/0047-2085000000348.</w:t>
      </w:r>
    </w:p>
    <w:p w14:paraId="07CBFC23"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FRESCURA, E.; RODRIGUES, G.; CONTI, M.; NAZAR, T. Sintomas e fatores associados à depressão e à ansiedade em estudantes adolescentes de escolas públicas. </w:t>
      </w:r>
      <w:r w:rsidRPr="00C13152">
        <w:rPr>
          <w:rStyle w:val="Forte"/>
          <w:rFonts w:ascii="Arial" w:hAnsi="Arial" w:cs="Arial"/>
        </w:rPr>
        <w:t>Cuadernos de Educación y Desarrollo</w:t>
      </w:r>
      <w:r w:rsidRPr="00C13152">
        <w:rPr>
          <w:rFonts w:ascii="Arial" w:hAnsi="Arial" w:cs="Arial"/>
        </w:rPr>
        <w:t>, v. 15, n. 12, p. 17239-17263, 2023. DOI: 10.55905/cuadv15n12-114.</w:t>
      </w:r>
    </w:p>
    <w:p w14:paraId="3794829D"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FRIZZO, G.; BOPSIN, A. Saúde docente e a precarização do trabalho no curso de educação física na rede privada de ensino superior. </w:t>
      </w:r>
      <w:r w:rsidRPr="00C13152">
        <w:rPr>
          <w:rStyle w:val="Forte"/>
          <w:rFonts w:ascii="Arial" w:hAnsi="Arial" w:cs="Arial"/>
        </w:rPr>
        <w:t>Movimento (ESEFID/UFRGS)</w:t>
      </w:r>
      <w:r w:rsidRPr="00C13152">
        <w:rPr>
          <w:rFonts w:ascii="Arial" w:hAnsi="Arial" w:cs="Arial"/>
        </w:rPr>
        <w:t>, v. 23, n. 4, p. 1271, 2017. DOI: 10.22456/1982-8918.72916.</w:t>
      </w:r>
    </w:p>
    <w:p w14:paraId="576387D7" w14:textId="2C77E5BD"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GALINARI, P. </w:t>
      </w:r>
      <w:r w:rsidRPr="00C13152">
        <w:rPr>
          <w:rFonts w:ascii="Arial" w:hAnsi="Arial" w:cs="Arial"/>
          <w:i/>
        </w:rPr>
        <w:t>et al</w:t>
      </w:r>
      <w:r w:rsidRPr="00C13152">
        <w:rPr>
          <w:rFonts w:ascii="Arial" w:hAnsi="Arial" w:cs="Arial"/>
        </w:rPr>
        <w:t xml:space="preserve">. Depressão em professores: revisão integrativa da literatura. </w:t>
      </w:r>
      <w:r w:rsidRPr="00C13152">
        <w:rPr>
          <w:rStyle w:val="Forte"/>
          <w:rFonts w:ascii="Arial" w:hAnsi="Arial" w:cs="Arial"/>
        </w:rPr>
        <w:t>Revista Eletrônica Acervo Enfermagem</w:t>
      </w:r>
      <w:r w:rsidRPr="00C13152">
        <w:rPr>
          <w:rFonts w:ascii="Arial" w:hAnsi="Arial" w:cs="Arial"/>
        </w:rPr>
        <w:t>, v. 2, p. e2546, 2020. DOI: 10.25248/reaenf.e2546.2020.</w:t>
      </w:r>
    </w:p>
    <w:p w14:paraId="205F35E6"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GIACOMELLI, W.; BORGES, G.; SANTOS, E. Determinantes da desmotivação no trabalho: uma investigação teórica e empírica. </w:t>
      </w:r>
      <w:r w:rsidRPr="00C13152">
        <w:rPr>
          <w:rStyle w:val="Forte"/>
          <w:rFonts w:ascii="Arial" w:hAnsi="Arial" w:cs="Arial"/>
        </w:rPr>
        <w:t>Revista de Administração de Roraima – RARR</w:t>
      </w:r>
      <w:r w:rsidRPr="00C13152">
        <w:rPr>
          <w:rFonts w:ascii="Arial" w:hAnsi="Arial" w:cs="Arial"/>
        </w:rPr>
        <w:t>, v. 6, n. 1, p. 4-17, 2016. DOI: 10.18227/2237-8057rarr.v6i1.2602.</w:t>
      </w:r>
    </w:p>
    <w:p w14:paraId="7FA37684"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GIRI, A.; PARIA, M. Teachers’ burnout and mental health: a cross-sectional survey of secondary schools in Medinipur district. </w:t>
      </w:r>
      <w:r w:rsidRPr="00C13152">
        <w:rPr>
          <w:rStyle w:val="Forte"/>
          <w:rFonts w:ascii="Arial" w:hAnsi="Arial" w:cs="Arial"/>
        </w:rPr>
        <w:t>International Journal of Education and Social Science Research</w:t>
      </w:r>
      <w:r w:rsidRPr="00C13152">
        <w:rPr>
          <w:rFonts w:ascii="Arial" w:hAnsi="Arial" w:cs="Arial"/>
        </w:rPr>
        <w:t>, v. 6, n. 5, p. 412-423, 2023. DOI: 10.37500/ijessr.2023.6527.</w:t>
      </w:r>
    </w:p>
    <w:p w14:paraId="3D06AE79"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GOMES, V.; NUNES, C.; PÁDUA, K. Entre ser “a pessoa mais importante do lugar” e “apenas um professor”. </w:t>
      </w:r>
      <w:r w:rsidRPr="00C13152">
        <w:rPr>
          <w:rStyle w:val="Forte"/>
          <w:rFonts w:ascii="Arial" w:hAnsi="Arial" w:cs="Arial"/>
        </w:rPr>
        <w:t>Revista Diálogo Educacional</w:t>
      </w:r>
      <w:r w:rsidRPr="00C13152">
        <w:rPr>
          <w:rFonts w:ascii="Arial" w:hAnsi="Arial" w:cs="Arial"/>
        </w:rPr>
        <w:t>, v. 21, n. 70, 2021. DOI: 10.7213/1981-416x.21.070.ds10.</w:t>
      </w:r>
    </w:p>
    <w:p w14:paraId="44602FFF" w14:textId="5B94EE6B"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HE, G. </w:t>
      </w:r>
      <w:r w:rsidRPr="00C13152">
        <w:rPr>
          <w:rFonts w:ascii="Arial" w:hAnsi="Arial" w:cs="Arial"/>
          <w:i/>
        </w:rPr>
        <w:t>et al</w:t>
      </w:r>
      <w:r w:rsidRPr="00C13152">
        <w:rPr>
          <w:rFonts w:ascii="Arial" w:hAnsi="Arial" w:cs="Arial"/>
        </w:rPr>
        <w:t xml:space="preserve">. Interpersonal conflict, school connectedness and depressive symptoms in Chinese adolescents: moderation effect of gender and grade level. </w:t>
      </w:r>
      <w:r w:rsidRPr="00C13152">
        <w:rPr>
          <w:rStyle w:val="Forte"/>
          <w:rFonts w:ascii="Arial" w:hAnsi="Arial" w:cs="Arial"/>
        </w:rPr>
        <w:t>International Journal of Environmental Research and Public Health</w:t>
      </w:r>
      <w:r w:rsidRPr="00C13152">
        <w:rPr>
          <w:rFonts w:ascii="Arial" w:hAnsi="Arial" w:cs="Arial"/>
        </w:rPr>
        <w:t>, v. 16, n. 12, p. 2182, 2019. DOI: 10.3390/ijerph16122182.</w:t>
      </w:r>
    </w:p>
    <w:p w14:paraId="391E33E3"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JUNAID, M.; MUSHTAQ, R.; IQBAL, A. Relationship between classroom environment and moral values of secondary school students. </w:t>
      </w:r>
      <w:r w:rsidRPr="00C13152">
        <w:rPr>
          <w:rStyle w:val="Forte"/>
          <w:rFonts w:ascii="Arial" w:hAnsi="Arial" w:cs="Arial"/>
        </w:rPr>
        <w:t>Journal of Social Sciences Review</w:t>
      </w:r>
      <w:r w:rsidRPr="00C13152">
        <w:rPr>
          <w:rFonts w:ascii="Arial" w:hAnsi="Arial" w:cs="Arial"/>
        </w:rPr>
        <w:t>, v. 3, n. 2, p. 1022-1029, 2023. DOI: 10.54183/jssr.v3i2.342.</w:t>
      </w:r>
    </w:p>
    <w:p w14:paraId="56B954AB"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KAMEDA, Q. Challenges of fostering student and teacher well-being in schools in Japan. </w:t>
      </w:r>
      <w:r w:rsidRPr="00C13152">
        <w:rPr>
          <w:rStyle w:val="Forte"/>
          <w:rFonts w:ascii="Arial" w:hAnsi="Arial" w:cs="Arial"/>
        </w:rPr>
        <w:t>European Journal of Education and Pedagogy</w:t>
      </w:r>
      <w:r w:rsidRPr="00C13152">
        <w:rPr>
          <w:rFonts w:ascii="Arial" w:hAnsi="Arial" w:cs="Arial"/>
        </w:rPr>
        <w:t>, v. 6, n. 1, p. 66-71, 2025. DOI: 10.24018/ejedu.2025.6.1.915.</w:t>
      </w:r>
    </w:p>
    <w:p w14:paraId="1EF20FB8"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KOUDELA-HAMILA, S.; SANTANGELO, P.; EBNER-PRIEMER, U.; SCHLOTZ, W. Under which circumstances does academic workload lead to stress? </w:t>
      </w:r>
      <w:r w:rsidRPr="00C13152">
        <w:rPr>
          <w:rStyle w:val="Forte"/>
          <w:rFonts w:ascii="Arial" w:hAnsi="Arial" w:cs="Arial"/>
        </w:rPr>
        <w:t>Journal of Psychophysiology</w:t>
      </w:r>
      <w:r w:rsidRPr="00C13152">
        <w:rPr>
          <w:rFonts w:ascii="Arial" w:hAnsi="Arial" w:cs="Arial"/>
        </w:rPr>
        <w:t>, v. 36, n. 3, p. 188-197, 2022. DOI: 10.1027/0269-8803/a000293.</w:t>
      </w:r>
    </w:p>
    <w:p w14:paraId="4751D964"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KURACHI, G.; GROSSEMAN, S. Do desejo à realidade de ser orientador de </w:t>
      </w:r>
      <w:r w:rsidRPr="00C13152">
        <w:rPr>
          <w:rFonts w:ascii="Arial" w:hAnsi="Arial" w:cs="Arial"/>
        </w:rPr>
        <w:lastRenderedPageBreak/>
        <w:t xml:space="preserve">pesquisa na área da saúde. </w:t>
      </w:r>
      <w:r w:rsidRPr="00C13152">
        <w:rPr>
          <w:rStyle w:val="Forte"/>
          <w:rFonts w:ascii="Arial" w:hAnsi="Arial" w:cs="Arial"/>
        </w:rPr>
        <w:t>Espaço para a Saúde – Revista de Saúde Pública do Paraná</w:t>
      </w:r>
      <w:r w:rsidRPr="00C13152">
        <w:rPr>
          <w:rFonts w:ascii="Arial" w:hAnsi="Arial" w:cs="Arial"/>
        </w:rPr>
        <w:t>, v. 25, p. 1-15, 2024. DOI: 10.22421/1517-7130/es.2024v25.e969.</w:t>
      </w:r>
    </w:p>
    <w:p w14:paraId="2A0D991C"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LAITINEN, S. Work-related well-being profiles among health education teachers. </w:t>
      </w:r>
      <w:r w:rsidRPr="00C13152">
        <w:rPr>
          <w:rStyle w:val="Forte"/>
          <w:rFonts w:ascii="Arial" w:hAnsi="Arial" w:cs="Arial"/>
        </w:rPr>
        <w:t>Education Sciences</w:t>
      </w:r>
      <w:r w:rsidRPr="00C13152">
        <w:rPr>
          <w:rFonts w:ascii="Arial" w:hAnsi="Arial" w:cs="Arial"/>
        </w:rPr>
        <w:t>, v. 12, n. 5, p. 343, 2022. DOI: 10.3390/educsci12050343.</w:t>
      </w:r>
    </w:p>
    <w:p w14:paraId="66B7A175"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LIMA, B.; CARNEIRO, R. Tornar-se professor de matemática em um programa de residência docente. </w:t>
      </w:r>
      <w:r w:rsidRPr="00C13152">
        <w:rPr>
          <w:rStyle w:val="Forte"/>
          <w:rFonts w:ascii="Arial" w:hAnsi="Arial" w:cs="Arial"/>
        </w:rPr>
        <w:t>Educação Matemática Pesquisa: Revista do Programa de Estudos Pós-Graduados em Educação Matemática</w:t>
      </w:r>
      <w:r w:rsidRPr="00C13152">
        <w:rPr>
          <w:rFonts w:ascii="Arial" w:hAnsi="Arial" w:cs="Arial"/>
        </w:rPr>
        <w:t>, v. 24, n. 4, p. 331-359, 2022. DOI: 10.23925/1983-3156.2022v24i4p331-359.</w:t>
      </w:r>
    </w:p>
    <w:p w14:paraId="2DBA00FD"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LIU, Y.; FRAZIER, P.; PORTA, C.; LUST, K. Mental health of US undergraduate and graduate students before and during the covid-19 pandemic: differences across sociodemographic groups. </w:t>
      </w:r>
      <w:r w:rsidRPr="00C13152">
        <w:rPr>
          <w:rStyle w:val="Forte"/>
          <w:rFonts w:ascii="Arial" w:hAnsi="Arial" w:cs="Arial"/>
        </w:rPr>
        <w:t>Psychiatry Research</w:t>
      </w:r>
      <w:r w:rsidRPr="00C13152">
        <w:rPr>
          <w:rFonts w:ascii="Arial" w:hAnsi="Arial" w:cs="Arial"/>
        </w:rPr>
        <w:t>, v. 309, p. 114428, 2022. DOI: 10.1016/j.psychres.2022.114428.</w:t>
      </w:r>
    </w:p>
    <w:p w14:paraId="53C4AA93"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LIZANA, P.; VEGA-FERNADEZ, G.; GÓMEZ</w:t>
      </w:r>
      <w:r w:rsidRPr="00C13152">
        <w:rPr>
          <w:rFonts w:ascii="Cambria Math" w:hAnsi="Cambria Math" w:cs="Cambria Math"/>
        </w:rPr>
        <w:t>‐</w:t>
      </w:r>
      <w:r w:rsidRPr="00C13152">
        <w:rPr>
          <w:rFonts w:ascii="Arial" w:hAnsi="Arial" w:cs="Arial"/>
        </w:rPr>
        <w:t xml:space="preserve">BRUTON, A.; LEYTON, B.; LERA, L. Impact of the covid-19 pandemic on teacher quality of life: a longitudinal study from before and during the health crisis. </w:t>
      </w:r>
      <w:r w:rsidRPr="00C13152">
        <w:rPr>
          <w:rStyle w:val="Forte"/>
          <w:rFonts w:ascii="Arial" w:hAnsi="Arial" w:cs="Arial"/>
        </w:rPr>
        <w:t>International Journal of Environmental Research and Public Health</w:t>
      </w:r>
      <w:r w:rsidRPr="00C13152">
        <w:rPr>
          <w:rFonts w:ascii="Arial" w:hAnsi="Arial" w:cs="Arial"/>
        </w:rPr>
        <w:t>, v. 18, n. 7, p. 3764, 2021. DOI: 10.3390/ijerph18073764.</w:t>
      </w:r>
    </w:p>
    <w:p w14:paraId="3AD099E0" w14:textId="2B69D4B4"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LOMBAS, A. </w:t>
      </w:r>
      <w:r w:rsidRPr="00C13152">
        <w:rPr>
          <w:rFonts w:ascii="Arial" w:hAnsi="Arial" w:cs="Arial"/>
          <w:i/>
        </w:rPr>
        <w:t>et al</w:t>
      </w:r>
      <w:r w:rsidRPr="00C13152">
        <w:rPr>
          <w:rFonts w:ascii="Arial" w:hAnsi="Arial" w:cs="Arial"/>
        </w:rPr>
        <w:t xml:space="preserve">. Impact of the Happy Classrooms programme on psychological well-being, school aggression, and classroom climate. </w:t>
      </w:r>
      <w:r w:rsidRPr="00C13152">
        <w:rPr>
          <w:rStyle w:val="Forte"/>
          <w:rFonts w:ascii="Arial" w:hAnsi="Arial" w:cs="Arial"/>
        </w:rPr>
        <w:t>Mindfulness</w:t>
      </w:r>
      <w:r w:rsidRPr="00C13152">
        <w:rPr>
          <w:rFonts w:ascii="Arial" w:hAnsi="Arial" w:cs="Arial"/>
        </w:rPr>
        <w:t>, v. 10, n. 8, p. 1642-1660, 2019. DOI: 10.1007/s12671-019-01132-8.</w:t>
      </w:r>
    </w:p>
    <w:p w14:paraId="6FAC035C" w14:textId="45E23F73"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LUZ, R. </w:t>
      </w:r>
      <w:r w:rsidRPr="00C13152">
        <w:rPr>
          <w:rFonts w:ascii="Arial" w:hAnsi="Arial" w:cs="Arial"/>
          <w:i/>
        </w:rPr>
        <w:t>et al</w:t>
      </w:r>
      <w:r w:rsidRPr="00C13152">
        <w:rPr>
          <w:rFonts w:ascii="Arial" w:hAnsi="Arial" w:cs="Arial"/>
        </w:rPr>
        <w:t xml:space="preserve">. Mental health as a dimension for the care of teenagers. </w:t>
      </w:r>
      <w:r w:rsidRPr="00C13152">
        <w:rPr>
          <w:rStyle w:val="Forte"/>
          <w:rFonts w:ascii="Arial" w:hAnsi="Arial" w:cs="Arial"/>
        </w:rPr>
        <w:t>Revista Brasileira de Enfermagem</w:t>
      </w:r>
      <w:r w:rsidRPr="00C13152">
        <w:rPr>
          <w:rFonts w:ascii="Arial" w:hAnsi="Arial" w:cs="Arial"/>
        </w:rPr>
        <w:t>, v. 71, supl. 5, p. 2087-2093, 2018. DOI: 10.1590/0034-7167-2016-0192.</w:t>
      </w:r>
    </w:p>
    <w:p w14:paraId="3509CA39"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MACADAY-QUIOCO, D. The prevalent skills and competencies of emotional intelligence for effective educational leadership: a systematic review of literature. </w:t>
      </w:r>
      <w:r w:rsidRPr="00C13152">
        <w:rPr>
          <w:rStyle w:val="Forte"/>
          <w:rFonts w:ascii="Arial" w:hAnsi="Arial" w:cs="Arial"/>
        </w:rPr>
        <w:t>International Journal of Multidisciplinary Research and Analysis</w:t>
      </w:r>
      <w:r w:rsidRPr="00C13152">
        <w:rPr>
          <w:rFonts w:ascii="Arial" w:hAnsi="Arial" w:cs="Arial"/>
        </w:rPr>
        <w:t>, v. 7, n. 10, 2024. DOI: 10.47191/ijmra/v7-i10-22.</w:t>
      </w:r>
    </w:p>
    <w:p w14:paraId="539FB277"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MAGALHÃES, R.; ANDRADE, L.; WITTIZORECKI, E. Mal-estar docente em professores de educação física escolar: uma revisão sistemática entre 2017 e 2022. </w:t>
      </w:r>
      <w:r w:rsidRPr="00C13152">
        <w:rPr>
          <w:rStyle w:val="Forte"/>
          <w:rFonts w:ascii="Arial" w:hAnsi="Arial" w:cs="Arial"/>
        </w:rPr>
        <w:t>Revista Didática Sistêmica</w:t>
      </w:r>
      <w:r w:rsidRPr="00C13152">
        <w:rPr>
          <w:rFonts w:ascii="Arial" w:hAnsi="Arial" w:cs="Arial"/>
        </w:rPr>
        <w:t>, v. 25, n. 2, p. 119-140, 2024. DOI: 10.14295/rds.v25i2.15745.</w:t>
      </w:r>
    </w:p>
    <w:p w14:paraId="308E5D31" w14:textId="5508CF0D"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MAGALHÃES, T. </w:t>
      </w:r>
      <w:r w:rsidRPr="00C13152">
        <w:rPr>
          <w:rFonts w:ascii="Arial" w:hAnsi="Arial" w:cs="Arial"/>
          <w:i/>
        </w:rPr>
        <w:t>et al</w:t>
      </w:r>
      <w:r w:rsidRPr="00C13152">
        <w:rPr>
          <w:rFonts w:ascii="Arial" w:hAnsi="Arial" w:cs="Arial"/>
        </w:rPr>
        <w:t xml:space="preserve">. Prevalência e fatores associados à síndrome de burnout entre docentes da rede pública de ensino: estudo de base populacional. </w:t>
      </w:r>
      <w:r w:rsidRPr="00C13152">
        <w:rPr>
          <w:rStyle w:val="Forte"/>
          <w:rFonts w:ascii="Arial" w:hAnsi="Arial" w:cs="Arial"/>
        </w:rPr>
        <w:t>Revista Brasileira de Saúde Ocupacional</w:t>
      </w:r>
      <w:r w:rsidRPr="00C13152">
        <w:rPr>
          <w:rFonts w:ascii="Arial" w:hAnsi="Arial" w:cs="Arial"/>
        </w:rPr>
        <w:t>, v. 46, 2021. DOI: 10.1590/2317-6369000030318.</w:t>
      </w:r>
    </w:p>
    <w:p w14:paraId="6099F219"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MEDEIROS, D.; CRUZ, S.; FRANCO, M. A valorização docente nos trabalhos acadêmicos. </w:t>
      </w:r>
      <w:r w:rsidRPr="00C13152">
        <w:rPr>
          <w:rStyle w:val="Forte"/>
          <w:rFonts w:ascii="Arial" w:hAnsi="Arial" w:cs="Arial"/>
        </w:rPr>
        <w:t>Momento – Diálogos em Educação</w:t>
      </w:r>
      <w:r w:rsidRPr="00C13152">
        <w:rPr>
          <w:rFonts w:ascii="Arial" w:hAnsi="Arial" w:cs="Arial"/>
        </w:rPr>
        <w:t>, v. 32, n. 2, p. 335-357, 2023. DOI: 10.14295/momento.v32i02.14322.</w:t>
      </w:r>
    </w:p>
    <w:p w14:paraId="0CE985FF" w14:textId="596AF342"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MELO, L. </w:t>
      </w:r>
      <w:r w:rsidRPr="00C13152">
        <w:rPr>
          <w:rFonts w:ascii="Arial" w:hAnsi="Arial" w:cs="Arial"/>
          <w:i/>
        </w:rPr>
        <w:t>et al</w:t>
      </w:r>
      <w:r w:rsidRPr="00C13152">
        <w:rPr>
          <w:rFonts w:ascii="Arial" w:hAnsi="Arial" w:cs="Arial"/>
        </w:rPr>
        <w:t xml:space="preserve">. Aplicação da teoria de Orem no âmbito das feridas: uma revisão integrativa. </w:t>
      </w:r>
      <w:r w:rsidRPr="00C13152">
        <w:rPr>
          <w:rStyle w:val="Forte"/>
          <w:rFonts w:ascii="Arial" w:hAnsi="Arial" w:cs="Arial"/>
        </w:rPr>
        <w:t>Estima – Brazilian Journal of Enterostomal Therapy</w:t>
      </w:r>
      <w:r w:rsidRPr="00C13152">
        <w:rPr>
          <w:rFonts w:ascii="Arial" w:hAnsi="Arial" w:cs="Arial"/>
        </w:rPr>
        <w:t>, 2020. DOI: 10.30886/estima.v18.821_pt.</w:t>
      </w:r>
    </w:p>
    <w:p w14:paraId="75C6441A" w14:textId="49865B7A"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lastRenderedPageBreak/>
        <w:t xml:space="preserve">MICONI, D. </w:t>
      </w:r>
      <w:r w:rsidRPr="00C13152">
        <w:rPr>
          <w:rFonts w:ascii="Arial" w:hAnsi="Arial" w:cs="Arial"/>
          <w:i/>
        </w:rPr>
        <w:t>et al</w:t>
      </w:r>
      <w:r w:rsidRPr="00C13152">
        <w:rPr>
          <w:rFonts w:ascii="Arial" w:hAnsi="Arial" w:cs="Arial"/>
        </w:rPr>
        <w:t xml:space="preserve">. Teachers’ psychological distress and work-related experiences during the COVID-19 pandemic in Quebec (Canada). </w:t>
      </w:r>
      <w:r w:rsidRPr="00C13152">
        <w:rPr>
          <w:rStyle w:val="Forte"/>
          <w:rFonts w:ascii="Arial" w:hAnsi="Arial" w:cs="Arial"/>
        </w:rPr>
        <w:t>Canadian Journal of School Psychology</w:t>
      </w:r>
      <w:r w:rsidRPr="00C13152">
        <w:rPr>
          <w:rFonts w:ascii="Arial" w:hAnsi="Arial" w:cs="Arial"/>
        </w:rPr>
        <w:t>, v. 39, n. 1, p. 29-52, 2024. DOI: 10.1177/08295735241227596.</w:t>
      </w:r>
    </w:p>
    <w:p w14:paraId="522F89B0"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MUNIZ, M.; FERNANDES, D. Autoconceito e ansiedade escolar: um estudo com alunos do ensino fundamental. </w:t>
      </w:r>
      <w:r w:rsidRPr="00C13152">
        <w:rPr>
          <w:rStyle w:val="Forte"/>
          <w:rFonts w:ascii="Arial" w:hAnsi="Arial" w:cs="Arial"/>
        </w:rPr>
        <w:t>Psicologia Escolar e Educacional</w:t>
      </w:r>
      <w:r w:rsidRPr="00C13152">
        <w:rPr>
          <w:rFonts w:ascii="Arial" w:hAnsi="Arial" w:cs="Arial"/>
        </w:rPr>
        <w:t>, v. 20, n. 3, p. 427-436, 2016. DOI: 10.1590/2175-353920150203784.</w:t>
      </w:r>
    </w:p>
    <w:p w14:paraId="04C202AD"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NOBRE, F.; ALBUQUERQUE, M.; JÚNIOR, C. Prevalência de ansiedade e depressão em profissionais de enfermagem na pandemia da COVID-19. </w:t>
      </w:r>
      <w:r w:rsidRPr="00C13152">
        <w:rPr>
          <w:rStyle w:val="Forte"/>
          <w:rFonts w:ascii="Arial" w:hAnsi="Arial" w:cs="Arial"/>
        </w:rPr>
        <w:t>Revista Mosaico</w:t>
      </w:r>
      <w:r w:rsidRPr="00C13152">
        <w:rPr>
          <w:rFonts w:ascii="Arial" w:hAnsi="Arial" w:cs="Arial"/>
        </w:rPr>
        <w:t>, v. 15, n. 1, p. 1-14, 2024. DOI: 10.21727/rm.v15i1.3866.</w:t>
      </w:r>
    </w:p>
    <w:p w14:paraId="21ED633E"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OLIVEIRA, I.; SILVEIRA, L.; FRIZZO, G. Análise sobre a relação entre as condições de trabalho e a saúde de professores estaduais em educação física de Pelotas – RS. </w:t>
      </w:r>
      <w:r w:rsidRPr="00C13152">
        <w:rPr>
          <w:rStyle w:val="Forte"/>
          <w:rFonts w:ascii="Arial" w:hAnsi="Arial" w:cs="Arial"/>
        </w:rPr>
        <w:t>Revista Thema</w:t>
      </w:r>
      <w:r w:rsidRPr="00C13152">
        <w:rPr>
          <w:rFonts w:ascii="Arial" w:hAnsi="Arial" w:cs="Arial"/>
        </w:rPr>
        <w:t>, v. 19, n. 2, p. 325-340, 2021. DOI: 10.15536/thema.v19.2021.325-340.1744.</w:t>
      </w:r>
    </w:p>
    <w:p w14:paraId="2B050470"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OLIVEIRA, J. Formação continuada docente: avanços e dilemas na visão dos coordenadores pedagógicos. </w:t>
      </w:r>
      <w:r w:rsidRPr="00C13152">
        <w:rPr>
          <w:rStyle w:val="Forte"/>
          <w:rFonts w:ascii="Arial" w:hAnsi="Arial" w:cs="Arial"/>
        </w:rPr>
        <w:t>Práxis Educacional</w:t>
      </w:r>
      <w:r w:rsidRPr="00C13152">
        <w:rPr>
          <w:rFonts w:ascii="Arial" w:hAnsi="Arial" w:cs="Arial"/>
        </w:rPr>
        <w:t>, v. 15, n. 34, p. 13, 2019. DOI: 10.22481/praxisedu.v15i34.5459.</w:t>
      </w:r>
    </w:p>
    <w:p w14:paraId="7A87F807"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PANGESTU, U.; AHLAINI, M.; SANTIKA, F. Principal’s interpersonal conflict management: a literature review. </w:t>
      </w:r>
      <w:r w:rsidRPr="00C13152">
        <w:rPr>
          <w:rStyle w:val="Forte"/>
          <w:rFonts w:ascii="Arial" w:hAnsi="Arial" w:cs="Arial"/>
        </w:rPr>
        <w:t>International Journal of Research and Innovation in Social Science</w:t>
      </w:r>
      <w:r w:rsidRPr="00C13152">
        <w:rPr>
          <w:rFonts w:ascii="Arial" w:hAnsi="Arial" w:cs="Arial"/>
        </w:rPr>
        <w:t>, v. 5, n. 6, p. 345-351, 2021. DOI: 10.47772/ijriss.2021.5617.</w:t>
      </w:r>
    </w:p>
    <w:p w14:paraId="4D431F5A"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PÊGO, F.; PÊGO, D. Síndrome de burnout. </w:t>
      </w:r>
      <w:r w:rsidRPr="00C13152">
        <w:rPr>
          <w:rStyle w:val="Forte"/>
          <w:rFonts w:ascii="Arial" w:hAnsi="Arial" w:cs="Arial"/>
        </w:rPr>
        <w:t>Revista Brasileira de Medicina do Trabalho</w:t>
      </w:r>
      <w:r w:rsidRPr="00C13152">
        <w:rPr>
          <w:rFonts w:ascii="Arial" w:hAnsi="Arial" w:cs="Arial"/>
        </w:rPr>
        <w:t>, v. 14, n. 2, p. 171-176, 2016. DOI: 10.5327/z1679-443520162215.</w:t>
      </w:r>
    </w:p>
    <w:p w14:paraId="23168E72"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PEREIRA, J.; TRAESEL, E.; MERLO, Á. Docência: psicodinâmica e relações de trabalho. </w:t>
      </w:r>
      <w:r w:rsidRPr="00C13152">
        <w:rPr>
          <w:rStyle w:val="Forte"/>
          <w:rFonts w:ascii="Arial" w:hAnsi="Arial" w:cs="Arial"/>
        </w:rPr>
        <w:t>Psicologia Argumento</w:t>
      </w:r>
      <w:r w:rsidRPr="00C13152">
        <w:rPr>
          <w:rFonts w:ascii="Arial" w:hAnsi="Arial" w:cs="Arial"/>
        </w:rPr>
        <w:t>, v. 31, n. 72, 2017. DOI: 10.7213/psicol.argum.7585.</w:t>
      </w:r>
    </w:p>
    <w:p w14:paraId="33638195"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PRESSLEY, T.; MARSHALL, D.; ODENIYI, O.; GONZALES, M. The relationship between access to mental health resources, administrative support, and teacher burnout. </w:t>
      </w:r>
      <w:r w:rsidRPr="00C13152">
        <w:rPr>
          <w:rStyle w:val="Forte"/>
          <w:rFonts w:ascii="Arial" w:hAnsi="Arial" w:cs="Arial"/>
        </w:rPr>
        <w:t>Preprint</w:t>
      </w:r>
      <w:r w:rsidRPr="00C13152">
        <w:rPr>
          <w:rFonts w:ascii="Arial" w:hAnsi="Arial" w:cs="Arial"/>
        </w:rPr>
        <w:t>, 2024. DOI: 10.31235/osf.io/trsdx.</w:t>
      </w:r>
    </w:p>
    <w:p w14:paraId="0B6F06A0"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RESENDE, M.; LOURENZO, M.; AMORIM, M. Esgotamento profissional em enfermeiros nas unidades de pronto atendimento (UPA) de Palmas – TO. </w:t>
      </w:r>
      <w:r w:rsidRPr="00C13152">
        <w:rPr>
          <w:rStyle w:val="Forte"/>
          <w:rFonts w:ascii="Arial" w:hAnsi="Arial" w:cs="Arial"/>
        </w:rPr>
        <w:t>Revista de Patologia do Tocantins</w:t>
      </w:r>
      <w:r w:rsidRPr="00C13152">
        <w:rPr>
          <w:rFonts w:ascii="Arial" w:hAnsi="Arial" w:cs="Arial"/>
        </w:rPr>
        <w:t>, v. 8, n. 3, p. 75-81, 2021. DOI: 10.20873/uft.2446-6492.2021v8n3p75.</w:t>
      </w:r>
    </w:p>
    <w:p w14:paraId="3D5DE544"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RIBEIRO, R. O binômio teoria-prática na formação inicial de futuros docentes: relato de experiência do Programa Residência Pedagógica. </w:t>
      </w:r>
      <w:r w:rsidRPr="00C13152">
        <w:rPr>
          <w:rStyle w:val="Forte"/>
          <w:rFonts w:ascii="Arial" w:hAnsi="Arial" w:cs="Arial"/>
        </w:rPr>
        <w:t>Olhar de Professor</w:t>
      </w:r>
      <w:r w:rsidRPr="00C13152">
        <w:rPr>
          <w:rFonts w:ascii="Arial" w:hAnsi="Arial" w:cs="Arial"/>
        </w:rPr>
        <w:t>, v. 26, p. 1-19, 2023. DOI: 10.5212/olharprofr.v.26.20650.044.</w:t>
      </w:r>
    </w:p>
    <w:p w14:paraId="563143EF" w14:textId="66513599"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ROBINSON, L. </w:t>
      </w:r>
      <w:r w:rsidRPr="00C13152">
        <w:rPr>
          <w:rFonts w:ascii="Arial" w:hAnsi="Arial" w:cs="Arial"/>
          <w:i/>
        </w:rPr>
        <w:t>et al</w:t>
      </w:r>
      <w:r w:rsidRPr="00C13152">
        <w:rPr>
          <w:rFonts w:ascii="Arial" w:hAnsi="Arial" w:cs="Arial"/>
        </w:rPr>
        <w:t xml:space="preserve">. Teachers, stress, and the covid-19 pandemic: a qualitative analysis. </w:t>
      </w:r>
      <w:r w:rsidRPr="00C13152">
        <w:rPr>
          <w:rStyle w:val="Forte"/>
          <w:rFonts w:ascii="Arial" w:hAnsi="Arial" w:cs="Arial"/>
        </w:rPr>
        <w:t>School Mental Health</w:t>
      </w:r>
      <w:r w:rsidRPr="00C13152">
        <w:rPr>
          <w:rFonts w:ascii="Arial" w:hAnsi="Arial" w:cs="Arial"/>
        </w:rPr>
        <w:t>, v. 15, n. 1, p. 78-89, 2022. DOI: 10.1007/s12310-022-09533-2.</w:t>
      </w:r>
    </w:p>
    <w:p w14:paraId="3B0806AF"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ROCHA, R.; ZWIEREWICZ, M.; VIOLANT, V. Da formação continuada ao bem-estar docente. </w:t>
      </w:r>
      <w:r w:rsidRPr="00C13152">
        <w:rPr>
          <w:rStyle w:val="Forte"/>
          <w:rFonts w:ascii="Arial" w:hAnsi="Arial" w:cs="Arial"/>
        </w:rPr>
        <w:t>Revista Ibero-Americana de Estudos em Educação</w:t>
      </w:r>
      <w:r w:rsidRPr="00C13152">
        <w:rPr>
          <w:rFonts w:ascii="Arial" w:hAnsi="Arial" w:cs="Arial"/>
        </w:rPr>
        <w:t xml:space="preserve">, p. 428-446, 2022. </w:t>
      </w:r>
      <w:r w:rsidRPr="00C13152">
        <w:rPr>
          <w:rFonts w:ascii="Arial" w:hAnsi="Arial" w:cs="Arial"/>
        </w:rPr>
        <w:lastRenderedPageBreak/>
        <w:t>DOI: 10.21723/riaee.v17i1.14279.</w:t>
      </w:r>
    </w:p>
    <w:p w14:paraId="3DF53FC4" w14:textId="1DC30F4D"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RUMOR, P. </w:t>
      </w:r>
      <w:r w:rsidRPr="00C13152">
        <w:rPr>
          <w:rFonts w:ascii="Arial" w:hAnsi="Arial" w:cs="Arial"/>
          <w:i/>
        </w:rPr>
        <w:t>et al</w:t>
      </w:r>
      <w:r w:rsidRPr="00C13152">
        <w:rPr>
          <w:rFonts w:ascii="Arial" w:hAnsi="Arial" w:cs="Arial"/>
        </w:rPr>
        <w:t xml:space="preserve">. Programa Saúde na Escola: potencialidades e limites da articulação intersetorial para promoção da saúde infantil. </w:t>
      </w:r>
      <w:r w:rsidRPr="00C13152">
        <w:rPr>
          <w:rStyle w:val="Forte"/>
          <w:rFonts w:ascii="Arial" w:hAnsi="Arial" w:cs="Arial"/>
        </w:rPr>
        <w:t>Saúde em Debate</w:t>
      </w:r>
      <w:r w:rsidRPr="00C13152">
        <w:rPr>
          <w:rFonts w:ascii="Arial" w:hAnsi="Arial" w:cs="Arial"/>
        </w:rPr>
        <w:t>, v. 46, spe3, p. 116-128, 2022. DOI: 10.1590/0103-11042022e308.</w:t>
      </w:r>
    </w:p>
    <w:p w14:paraId="049C1407" w14:textId="2155CDDC"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RUS, M. </w:t>
      </w:r>
      <w:r w:rsidRPr="00C13152">
        <w:rPr>
          <w:rFonts w:ascii="Arial" w:hAnsi="Arial" w:cs="Arial"/>
          <w:i/>
        </w:rPr>
        <w:t>et al</w:t>
      </w:r>
      <w:r w:rsidRPr="00C13152">
        <w:rPr>
          <w:rFonts w:ascii="Arial" w:hAnsi="Arial" w:cs="Arial"/>
        </w:rPr>
        <w:t xml:space="preserve">. Predictive factors regarding bullying behavior in Romanian schools. </w:t>
      </w:r>
      <w:r w:rsidRPr="00C13152">
        <w:rPr>
          <w:rStyle w:val="Forte"/>
          <w:rFonts w:ascii="Arial" w:hAnsi="Arial" w:cs="Arial"/>
        </w:rPr>
        <w:t>Frontiers in Psychology</w:t>
      </w:r>
      <w:r w:rsidRPr="00C13152">
        <w:rPr>
          <w:rFonts w:ascii="Arial" w:hAnsi="Arial" w:cs="Arial"/>
        </w:rPr>
        <w:t>, v. 15, 2024. DOI: 10.3389/fpsyg.2024.1463981.</w:t>
      </w:r>
    </w:p>
    <w:p w14:paraId="72B91181"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SAHU, P. Closure of universities due to coronavirus disease 2019 (COVID-19): impact on education and mental health of students and academic staff. </w:t>
      </w:r>
      <w:r w:rsidRPr="00C13152">
        <w:rPr>
          <w:rStyle w:val="Forte"/>
          <w:rFonts w:ascii="Arial" w:hAnsi="Arial" w:cs="Arial"/>
        </w:rPr>
        <w:t>Cureus</w:t>
      </w:r>
      <w:r w:rsidRPr="00C13152">
        <w:rPr>
          <w:rFonts w:ascii="Arial" w:hAnsi="Arial" w:cs="Arial"/>
        </w:rPr>
        <w:t>, 2020. DOI: 10.7759/cureus.7541.</w:t>
      </w:r>
    </w:p>
    <w:p w14:paraId="40E16E36"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SANTIAGO, R.; AMORIM, I. Formação continuada em serviço de coordenadores/as pedagógicos/as com enfoque colaborativo e autogestionário: algumas proposições. </w:t>
      </w:r>
      <w:r w:rsidRPr="00C13152">
        <w:rPr>
          <w:rStyle w:val="Forte"/>
          <w:rFonts w:ascii="Arial" w:hAnsi="Arial" w:cs="Arial"/>
        </w:rPr>
        <w:t>Revista Fragmentos de Cultura</w:t>
      </w:r>
      <w:r w:rsidRPr="00C13152">
        <w:rPr>
          <w:rFonts w:ascii="Arial" w:hAnsi="Arial" w:cs="Arial"/>
        </w:rPr>
        <w:t>, v. 32, n. 4, p. 736-746, 2023. DOI: 10.18224/frag.v32i4.12873.</w:t>
      </w:r>
    </w:p>
    <w:p w14:paraId="234DDA45" w14:textId="3C6CD0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SANTOS, D. </w:t>
      </w:r>
      <w:r w:rsidRPr="00C13152">
        <w:rPr>
          <w:rFonts w:ascii="Arial" w:hAnsi="Arial" w:cs="Arial"/>
          <w:i/>
        </w:rPr>
        <w:t>et al</w:t>
      </w:r>
      <w:r w:rsidRPr="00C13152">
        <w:rPr>
          <w:rFonts w:ascii="Arial" w:hAnsi="Arial" w:cs="Arial"/>
        </w:rPr>
        <w:t xml:space="preserve">. Trabalho docente e a formação continuada dos professores da educação básica. </w:t>
      </w:r>
      <w:r w:rsidRPr="00C13152">
        <w:rPr>
          <w:rStyle w:val="Forte"/>
          <w:rFonts w:ascii="Arial" w:hAnsi="Arial" w:cs="Arial"/>
        </w:rPr>
        <w:t>Pedagogia em Foco</w:t>
      </w:r>
      <w:r w:rsidRPr="00C13152">
        <w:rPr>
          <w:rFonts w:ascii="Arial" w:hAnsi="Arial" w:cs="Arial"/>
        </w:rPr>
        <w:t>, v. 13, n. 10, p. 46, 2018. DOI: 10.29031/pedf.v13i10.326.</w:t>
      </w:r>
    </w:p>
    <w:p w14:paraId="7CBB5BEF"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SANTOS, M.; SILVA, K. Níveis de estresse e qualidade de vida de professores do ensino superior. </w:t>
      </w:r>
      <w:r w:rsidRPr="00C13152">
        <w:rPr>
          <w:rStyle w:val="Forte"/>
          <w:rFonts w:ascii="Arial" w:hAnsi="Arial" w:cs="Arial"/>
        </w:rPr>
        <w:t>Revista de Enfermagem da UFSM</w:t>
      </w:r>
      <w:r w:rsidRPr="00C13152">
        <w:rPr>
          <w:rFonts w:ascii="Arial" w:hAnsi="Arial" w:cs="Arial"/>
        </w:rPr>
        <w:t>, v. 7, n. 4, p. 656, 2017. DOI: 10.5902/2179769225906.</w:t>
      </w:r>
    </w:p>
    <w:p w14:paraId="3AC2DBFB" w14:textId="7953F109"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SANTOS, S. </w:t>
      </w:r>
      <w:r w:rsidRPr="00C13152">
        <w:rPr>
          <w:rFonts w:ascii="Arial" w:hAnsi="Arial" w:cs="Arial"/>
          <w:i/>
        </w:rPr>
        <w:t>et al</w:t>
      </w:r>
      <w:r w:rsidRPr="00C13152">
        <w:rPr>
          <w:rFonts w:ascii="Arial" w:hAnsi="Arial" w:cs="Arial"/>
        </w:rPr>
        <w:t xml:space="preserve">. Compreendendo a dislexia e o TDAH: impactos no desenvolvimento do aluno e estratégias de suporte. </w:t>
      </w:r>
      <w:r w:rsidRPr="00C13152">
        <w:rPr>
          <w:rStyle w:val="Forte"/>
          <w:rFonts w:ascii="Arial" w:hAnsi="Arial" w:cs="Arial"/>
        </w:rPr>
        <w:t>Revista Foco</w:t>
      </w:r>
      <w:r w:rsidRPr="00C13152">
        <w:rPr>
          <w:rFonts w:ascii="Arial" w:hAnsi="Arial" w:cs="Arial"/>
        </w:rPr>
        <w:t>, v. 16, n. 11, p. e3776, 2023. DOI: 10.54751/revistafoco.v16n11-230.</w:t>
      </w:r>
    </w:p>
    <w:p w14:paraId="607E0546"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SAPPA, V.; BARABASCH, A. Forum-theatre technique to foster creative and active problem solving: a resilience-building intervention among in-service teachers. </w:t>
      </w:r>
      <w:r w:rsidRPr="00C13152">
        <w:rPr>
          <w:rStyle w:val="Forte"/>
          <w:rFonts w:ascii="Arial" w:hAnsi="Arial" w:cs="Arial"/>
        </w:rPr>
        <w:t>Journal of Adult and Continuing Education</w:t>
      </w:r>
      <w:r w:rsidRPr="00C13152">
        <w:rPr>
          <w:rFonts w:ascii="Arial" w:hAnsi="Arial" w:cs="Arial"/>
        </w:rPr>
        <w:t>, v. 26, n. 1, p. 43-60, 2019. DOI: 10.1177/1477971419842884.</w:t>
      </w:r>
    </w:p>
    <w:p w14:paraId="5D9D2725"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SILVA, A. Conexão dos saberes dos professores por meio das formações continuadas no mundo tecnológico. </w:t>
      </w:r>
      <w:r w:rsidRPr="00C13152">
        <w:rPr>
          <w:rStyle w:val="Forte"/>
          <w:rFonts w:ascii="Arial" w:hAnsi="Arial" w:cs="Arial"/>
        </w:rPr>
        <w:t>Contribuciones a las Ciencias Sociales</w:t>
      </w:r>
      <w:r w:rsidRPr="00C13152">
        <w:rPr>
          <w:rFonts w:ascii="Arial" w:hAnsi="Arial" w:cs="Arial"/>
        </w:rPr>
        <w:t>, v. 17, n. 8, e9710, 2024. DOI: 10.55905/revconv.17n.8-364.</w:t>
      </w:r>
    </w:p>
    <w:p w14:paraId="70F392AD" w14:textId="1C40B79E"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SILVA, B. </w:t>
      </w:r>
      <w:r w:rsidRPr="00C13152">
        <w:rPr>
          <w:rFonts w:ascii="Arial" w:hAnsi="Arial" w:cs="Arial"/>
          <w:i/>
        </w:rPr>
        <w:t>et al</w:t>
      </w:r>
      <w:r w:rsidRPr="00C13152">
        <w:rPr>
          <w:rFonts w:ascii="Arial" w:hAnsi="Arial" w:cs="Arial"/>
        </w:rPr>
        <w:t xml:space="preserve">. O impacto da pandemia de COVID-19 no aumento de casos de síndrome de burnout em profissionais da saúde. </w:t>
      </w:r>
      <w:r w:rsidRPr="00C13152">
        <w:rPr>
          <w:rStyle w:val="Forte"/>
          <w:rFonts w:ascii="Arial" w:hAnsi="Arial" w:cs="Arial"/>
        </w:rPr>
        <w:t>Recima21 – Revista Científica Multidisciplinar</w:t>
      </w:r>
      <w:r w:rsidRPr="00C13152">
        <w:rPr>
          <w:rFonts w:ascii="Arial" w:hAnsi="Arial" w:cs="Arial"/>
        </w:rPr>
        <w:t>, v. 3, n. 12, p. e3122381, 2022. DOI: 10.47820/recima21.v3i12.2381.</w:t>
      </w:r>
    </w:p>
    <w:p w14:paraId="4B4EE7B0"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SILVA, J.; DOMINGUES, E. Adaptação cultural e validação da escala para avaliar as capacidades de autocuidado. </w:t>
      </w:r>
      <w:r w:rsidRPr="00C13152">
        <w:rPr>
          <w:rStyle w:val="Forte"/>
          <w:rFonts w:ascii="Arial" w:hAnsi="Arial" w:cs="Arial"/>
        </w:rPr>
        <w:t>Arquivos de Ciências da Saúde</w:t>
      </w:r>
      <w:r w:rsidRPr="00C13152">
        <w:rPr>
          <w:rFonts w:ascii="Arial" w:hAnsi="Arial" w:cs="Arial"/>
        </w:rPr>
        <w:t>, v. 24, n. 4, p. 30, 2017. DOI: 10.17696/2318-3691.24.4.2017.686.</w:t>
      </w:r>
    </w:p>
    <w:p w14:paraId="2D1B3A0F" w14:textId="611C1DAB"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SILVA, M. </w:t>
      </w:r>
      <w:r w:rsidRPr="00C13152">
        <w:rPr>
          <w:rFonts w:ascii="Arial" w:hAnsi="Arial" w:cs="Arial"/>
          <w:i/>
        </w:rPr>
        <w:t>et al</w:t>
      </w:r>
      <w:r w:rsidRPr="00C13152">
        <w:rPr>
          <w:rFonts w:ascii="Arial" w:hAnsi="Arial" w:cs="Arial"/>
        </w:rPr>
        <w:t xml:space="preserve">. Principais estratégias adotadas por enfermeiros na promoção do autocuidado entre hipertensos: uma revisão integrativa. </w:t>
      </w:r>
      <w:r w:rsidRPr="00C13152">
        <w:rPr>
          <w:rStyle w:val="Forte"/>
          <w:rFonts w:ascii="Arial" w:hAnsi="Arial" w:cs="Arial"/>
        </w:rPr>
        <w:t>Nursing (São Paulo)</w:t>
      </w:r>
      <w:r w:rsidRPr="00C13152">
        <w:rPr>
          <w:rFonts w:ascii="Arial" w:hAnsi="Arial" w:cs="Arial"/>
        </w:rPr>
        <w:t>, v. 26, n. 299, p. 9570-9576, 2023. DOI: 10.36489/nursing.2023v26i299p9570-9576.</w:t>
      </w:r>
    </w:p>
    <w:p w14:paraId="088F133D"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lastRenderedPageBreak/>
        <w:t xml:space="preserve">SILVEIRA, A.; SANTOS, M. Impacto que a falta de conhecimento pode causar no diabetes mellitus tipo 2. </w:t>
      </w:r>
      <w:r w:rsidRPr="00C13152">
        <w:rPr>
          <w:rStyle w:val="Forte"/>
          <w:rFonts w:ascii="Arial" w:hAnsi="Arial" w:cs="Arial"/>
        </w:rPr>
        <w:t>Research, Society and Development</w:t>
      </w:r>
      <w:r w:rsidRPr="00C13152">
        <w:rPr>
          <w:rFonts w:ascii="Arial" w:hAnsi="Arial" w:cs="Arial"/>
        </w:rPr>
        <w:t>, v. 12, n. 6, p. e9812642057, 2023. DOI: 10.33448/rsd-v12i6.42057.</w:t>
      </w:r>
    </w:p>
    <w:p w14:paraId="73E1D111"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SINGH, Y.; GAUTAM, D. The impact of job satisfaction on teacher mental health: a call to action for educational policymakers. </w:t>
      </w:r>
      <w:r w:rsidRPr="00C13152">
        <w:rPr>
          <w:rStyle w:val="Forte"/>
          <w:rFonts w:ascii="Arial" w:hAnsi="Arial" w:cs="Arial"/>
        </w:rPr>
        <w:t>Open Education Studies</w:t>
      </w:r>
      <w:r w:rsidRPr="00C13152">
        <w:rPr>
          <w:rFonts w:ascii="Arial" w:hAnsi="Arial" w:cs="Arial"/>
        </w:rPr>
        <w:t>, v. 6, n. 1, 2024. DOI: 10.1515/edu-2024-0008.</w:t>
      </w:r>
    </w:p>
    <w:p w14:paraId="391E6513"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SOARES, D.; SOARES, T.; SANTOS, W. Infraestrutura e desempenho escolar na Prova Brasil: aspectos e conexões. </w:t>
      </w:r>
      <w:r w:rsidRPr="00C13152">
        <w:rPr>
          <w:rStyle w:val="Forte"/>
          <w:rFonts w:ascii="Arial" w:hAnsi="Arial" w:cs="Arial"/>
        </w:rPr>
        <w:t>Olhar de Professor</w:t>
      </w:r>
      <w:r w:rsidRPr="00C13152">
        <w:rPr>
          <w:rFonts w:ascii="Arial" w:hAnsi="Arial" w:cs="Arial"/>
        </w:rPr>
        <w:t>, v. 23, p. 1-18, 2020. DOI: 10.5212/olharprofr.v.23.2020.15023.209209227242.0626.</w:t>
      </w:r>
    </w:p>
    <w:p w14:paraId="5E1852F5" w14:textId="546648F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SOARES, S. </w:t>
      </w:r>
      <w:r w:rsidRPr="00C13152">
        <w:rPr>
          <w:rFonts w:ascii="Arial" w:hAnsi="Arial" w:cs="Arial"/>
          <w:i/>
        </w:rPr>
        <w:t>et al</w:t>
      </w:r>
      <w:r w:rsidRPr="00C13152">
        <w:rPr>
          <w:rFonts w:ascii="Arial" w:hAnsi="Arial" w:cs="Arial"/>
        </w:rPr>
        <w:t xml:space="preserve">. Dupla jornada de trabalho na enfermagem: paradigma da prosperidade ou reflexo do modelo neoliberal? </w:t>
      </w:r>
      <w:r w:rsidRPr="00C13152">
        <w:rPr>
          <w:rStyle w:val="Forte"/>
          <w:rFonts w:ascii="Arial" w:hAnsi="Arial" w:cs="Arial"/>
        </w:rPr>
        <w:t>Revista Baiana de Enfermagem</w:t>
      </w:r>
      <w:r w:rsidRPr="00C13152">
        <w:rPr>
          <w:rFonts w:ascii="Arial" w:hAnsi="Arial" w:cs="Arial"/>
        </w:rPr>
        <w:t>, v. 35, 2020. DOI: 10.18471/rbe.v35.38745.</w:t>
      </w:r>
    </w:p>
    <w:p w14:paraId="66335EAA"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SOBZINSKI, J.; DIOGO, E.; MASSON, G. Políticas de formação e valorização docente: uma análise do Plano de Desenvolvimento da Educação e das metas do novo Plano Nacional de Educação. </w:t>
      </w:r>
      <w:r w:rsidRPr="00C13152">
        <w:rPr>
          <w:rStyle w:val="Forte"/>
          <w:rFonts w:ascii="Arial" w:hAnsi="Arial" w:cs="Arial"/>
        </w:rPr>
        <w:t>Revista Ibero-Americana de Estudos em Educação</w:t>
      </w:r>
      <w:r w:rsidRPr="00C13152">
        <w:rPr>
          <w:rFonts w:ascii="Arial" w:hAnsi="Arial" w:cs="Arial"/>
        </w:rPr>
        <w:t>, v. 10, n. 4, p. 1212-1233, 2015. DOI: 10.21723/riaee.v10i4.6407.</w:t>
      </w:r>
    </w:p>
    <w:p w14:paraId="5BC37B8B"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SOUSA, M. O papel do coordenador pedagógico como articulador na formação continuada do professor. </w:t>
      </w:r>
      <w:r w:rsidRPr="00C13152">
        <w:rPr>
          <w:rStyle w:val="Forte"/>
          <w:rFonts w:ascii="Arial" w:hAnsi="Arial" w:cs="Arial"/>
        </w:rPr>
        <w:t>Licuri</w:t>
      </w:r>
      <w:r w:rsidRPr="00C13152">
        <w:rPr>
          <w:rFonts w:ascii="Arial" w:hAnsi="Arial" w:cs="Arial"/>
        </w:rPr>
        <w:t>, p. 10-24, 2023. DOI: 10.58203/licuri.20721.</w:t>
      </w:r>
    </w:p>
    <w:p w14:paraId="756770E3"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SOUZA, L. Formação continuada: qualificação profissional docente. </w:t>
      </w:r>
      <w:r w:rsidRPr="00C13152">
        <w:rPr>
          <w:rStyle w:val="Forte"/>
          <w:rFonts w:ascii="Arial" w:hAnsi="Arial" w:cs="Arial"/>
        </w:rPr>
        <w:t>Revista Ibero-Americana de Humanidades, Ciências e Educação</w:t>
      </w:r>
      <w:r w:rsidRPr="00C13152">
        <w:rPr>
          <w:rFonts w:ascii="Arial" w:hAnsi="Arial" w:cs="Arial"/>
        </w:rPr>
        <w:t>, v. 9, n. 5, p. 2249-2261, 2023. DOI: 10.51891/rease.v9i5.9969.</w:t>
      </w:r>
    </w:p>
    <w:p w14:paraId="1C62BC2A"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TOSTES, M.; ALBUQUERQUE, G.; SILVA, M.; PETTERLE, R. Sofrimento mental de professores do ensino público. </w:t>
      </w:r>
      <w:r w:rsidRPr="00C13152">
        <w:rPr>
          <w:rStyle w:val="Forte"/>
          <w:rFonts w:ascii="Arial" w:hAnsi="Arial" w:cs="Arial"/>
        </w:rPr>
        <w:t>Saúde em Debate</w:t>
      </w:r>
      <w:r w:rsidRPr="00C13152">
        <w:rPr>
          <w:rFonts w:ascii="Arial" w:hAnsi="Arial" w:cs="Arial"/>
        </w:rPr>
        <w:t>, v. 42, n. 116, p. 87-99, 2018. DOI: 10.1590/0103-1104201811607.</w:t>
      </w:r>
    </w:p>
    <w:p w14:paraId="12D948F0"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TSUBONO, K.; MITOKU, S. Public school teachers’ occupational stress across different school types: a nationwide survey during the prolonged COVID-19 pandemic in Japan. </w:t>
      </w:r>
      <w:r w:rsidRPr="00C13152">
        <w:rPr>
          <w:rStyle w:val="Forte"/>
          <w:rFonts w:ascii="Arial" w:hAnsi="Arial" w:cs="Arial"/>
        </w:rPr>
        <w:t>Frontiers in Public Health</w:t>
      </w:r>
      <w:r w:rsidRPr="00C13152">
        <w:rPr>
          <w:rFonts w:ascii="Arial" w:hAnsi="Arial" w:cs="Arial"/>
        </w:rPr>
        <w:t>, v. 11, 2023. DOI: 10.3389/fpubh.2023.1287893.</w:t>
      </w:r>
    </w:p>
    <w:p w14:paraId="34CFE313"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TSUBONO, K.; MITOKU, S. Public school teachers’ occupational stress across different school types: a nationwide survey during the prolonged COVID-19 pandemic in Japan. </w:t>
      </w:r>
      <w:r w:rsidRPr="00C13152">
        <w:rPr>
          <w:rStyle w:val="Forte"/>
          <w:rFonts w:ascii="Arial" w:hAnsi="Arial" w:cs="Arial"/>
        </w:rPr>
        <w:t>Frontiers in Public Health</w:t>
      </w:r>
      <w:r w:rsidRPr="00C13152">
        <w:rPr>
          <w:rFonts w:ascii="Arial" w:hAnsi="Arial" w:cs="Arial"/>
        </w:rPr>
        <w:t>, v. 11, 2023. DOI: 10.3389/fpubh.2023.1287893.</w:t>
      </w:r>
    </w:p>
    <w:p w14:paraId="2647191C"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VASCONCELOS, E.; MARTINS, M. Ansiedade na pandemia COVID-19: influências no aprendizado da EJA – Educação de Jovens e Adultos e terapia cognitivo comportamental na intervenção. </w:t>
      </w:r>
      <w:r w:rsidRPr="00C13152">
        <w:rPr>
          <w:rStyle w:val="Forte"/>
          <w:rFonts w:ascii="Arial" w:hAnsi="Arial" w:cs="Arial"/>
        </w:rPr>
        <w:t>Revista Ibero-Americana de Humanidades, Ciências e Educação</w:t>
      </w:r>
      <w:r w:rsidRPr="00C13152">
        <w:rPr>
          <w:rFonts w:ascii="Arial" w:hAnsi="Arial" w:cs="Arial"/>
        </w:rPr>
        <w:t>, v. 8, n. 7, p. 798-820, 2022. DOI: 10.51891/rease.v8i7.6180.</w:t>
      </w:r>
    </w:p>
    <w:p w14:paraId="109B0C69"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VENTORIM, S.; PEREIRA, C.; BITENCOURT, J. Formação continuada de professores da educação básica em tempos de pandemia da COVID-19. </w:t>
      </w:r>
      <w:r w:rsidRPr="00C13152">
        <w:rPr>
          <w:rStyle w:val="Forte"/>
          <w:rFonts w:ascii="Arial" w:hAnsi="Arial" w:cs="Arial"/>
        </w:rPr>
        <w:t>Interfaces da Educação</w:t>
      </w:r>
      <w:r w:rsidRPr="00C13152">
        <w:rPr>
          <w:rFonts w:ascii="Arial" w:hAnsi="Arial" w:cs="Arial"/>
        </w:rPr>
        <w:t>, v. 14, n. 40, p. 619-639, 2023. DOI: 10.61389/inter.v14i40.6633.</w:t>
      </w:r>
    </w:p>
    <w:p w14:paraId="2737C554"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VESTENA, L.; DANZMANN, P.; JAGER, M. Bullying e sua relação com o </w:t>
      </w:r>
      <w:r w:rsidRPr="00C13152">
        <w:rPr>
          <w:rFonts w:ascii="Arial" w:hAnsi="Arial" w:cs="Arial"/>
        </w:rPr>
        <w:lastRenderedPageBreak/>
        <w:t xml:space="preserve">desenvolvimento infantojuvenil. </w:t>
      </w:r>
      <w:r w:rsidRPr="00C13152">
        <w:rPr>
          <w:rStyle w:val="Forte"/>
          <w:rFonts w:ascii="Arial" w:hAnsi="Arial" w:cs="Arial"/>
        </w:rPr>
        <w:t>Anais do SEPE</w:t>
      </w:r>
      <w:r w:rsidRPr="00C13152">
        <w:rPr>
          <w:rFonts w:ascii="Arial" w:hAnsi="Arial" w:cs="Arial"/>
        </w:rPr>
        <w:t>, 2022. DOI: 10.48195/sepe2022.25857.</w:t>
      </w:r>
    </w:p>
    <w:p w14:paraId="2199EF4D" w14:textId="64842CB0"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VICTORIANO, A. </w:t>
      </w:r>
      <w:r w:rsidRPr="00C13152">
        <w:rPr>
          <w:rFonts w:ascii="Arial" w:hAnsi="Arial" w:cs="Arial"/>
          <w:i/>
        </w:rPr>
        <w:t>et al</w:t>
      </w:r>
      <w:r w:rsidRPr="00C13152">
        <w:rPr>
          <w:rFonts w:ascii="Arial" w:hAnsi="Arial" w:cs="Arial"/>
        </w:rPr>
        <w:t xml:space="preserve">. Análise dos estilos motivacionais em professores da rede pública estadual de ensino. </w:t>
      </w:r>
      <w:r w:rsidRPr="00C13152">
        <w:rPr>
          <w:rStyle w:val="Forte"/>
          <w:rFonts w:ascii="Arial" w:hAnsi="Arial" w:cs="Arial"/>
        </w:rPr>
        <w:t>Pensamento &amp; Realidade</w:t>
      </w:r>
      <w:r w:rsidRPr="00C13152">
        <w:rPr>
          <w:rFonts w:ascii="Arial" w:hAnsi="Arial" w:cs="Arial"/>
        </w:rPr>
        <w:t>, v. 34, n. 2, p. 64-80, 2019. DOI: 10.23925/2237-4418.2019v34i2p64-80.</w:t>
      </w:r>
    </w:p>
    <w:p w14:paraId="297E10E6"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VIEIRA, F. Para uma mudança profunda da qualidade da pedagogia na universidade. </w:t>
      </w:r>
      <w:r w:rsidRPr="00C13152">
        <w:rPr>
          <w:rStyle w:val="Forte"/>
          <w:rFonts w:ascii="Arial" w:hAnsi="Arial" w:cs="Arial"/>
        </w:rPr>
        <w:t>REDU Revista de Docencia Universitaria</w:t>
      </w:r>
      <w:r w:rsidRPr="00C13152">
        <w:rPr>
          <w:rFonts w:ascii="Arial" w:hAnsi="Arial" w:cs="Arial"/>
        </w:rPr>
        <w:t>, v. 12, n. 2, p. 23, 2014. DOI: 10.4995/redu.2014.5638.</w:t>
      </w:r>
    </w:p>
    <w:p w14:paraId="645B1CAC"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VIEIRA, I.; RUSSO, J. Burnout e estresse: entre medicalização e psicologização. </w:t>
      </w:r>
      <w:r w:rsidRPr="00C13152">
        <w:rPr>
          <w:rStyle w:val="Forte"/>
          <w:rFonts w:ascii="Arial" w:hAnsi="Arial" w:cs="Arial"/>
        </w:rPr>
        <w:t>Physis: Revista de Saúde Coletiva</w:t>
      </w:r>
      <w:r w:rsidRPr="00C13152">
        <w:rPr>
          <w:rFonts w:ascii="Arial" w:hAnsi="Arial" w:cs="Arial"/>
        </w:rPr>
        <w:t>, v. 29, n. 2, 2019. DOI: 10.1590/s0103-73312019290206.</w:t>
      </w:r>
    </w:p>
    <w:p w14:paraId="1667D983"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VITAL, S.; QUEIROZ, V.; URT, S. Formação continuada e um olhar histórico-crítico-cultural para pensar possibilidades de enfrentamento ao adoecimento docente. </w:t>
      </w:r>
      <w:r w:rsidRPr="00C13152">
        <w:rPr>
          <w:rStyle w:val="Forte"/>
          <w:rFonts w:ascii="Arial" w:hAnsi="Arial" w:cs="Arial"/>
        </w:rPr>
        <w:t>Revista Inter-Ação</w:t>
      </w:r>
      <w:r w:rsidRPr="00C13152">
        <w:rPr>
          <w:rFonts w:ascii="Arial" w:hAnsi="Arial" w:cs="Arial"/>
        </w:rPr>
        <w:t>, v. 46, n. 1, p. 113-130, 2021. DOI: 10.5216/ia.v46i1.65163.</w:t>
      </w:r>
    </w:p>
    <w:p w14:paraId="29104711" w14:textId="241F2B8C"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ZANOVELLO, R. </w:t>
      </w:r>
      <w:r w:rsidRPr="00C13152">
        <w:rPr>
          <w:rFonts w:ascii="Arial" w:hAnsi="Arial" w:cs="Arial"/>
          <w:i/>
        </w:rPr>
        <w:t>et al</w:t>
      </w:r>
      <w:r w:rsidRPr="00C13152">
        <w:rPr>
          <w:rFonts w:ascii="Arial" w:hAnsi="Arial" w:cs="Arial"/>
        </w:rPr>
        <w:t xml:space="preserve">. Concepções de professores do ensino básico sobre a contribuição do PIBID na ação docente. </w:t>
      </w:r>
      <w:r w:rsidRPr="00C13152">
        <w:rPr>
          <w:rStyle w:val="Forte"/>
          <w:rFonts w:ascii="Arial" w:hAnsi="Arial" w:cs="Arial"/>
        </w:rPr>
        <w:t>Ciência e Natura</w:t>
      </w:r>
      <w:r w:rsidRPr="00C13152">
        <w:rPr>
          <w:rFonts w:ascii="Arial" w:hAnsi="Arial" w:cs="Arial"/>
        </w:rPr>
        <w:t>, v. 36, n. 2, 2014. DOI: 10.5902/2179460x12958.</w:t>
      </w:r>
    </w:p>
    <w:p w14:paraId="70830DCC" w14:textId="77777777"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ZEB, I.; ZHANG, Y.; KHAN, A. The relationship between teachers’ self-efficacy and classroom management practices in secondary schools. </w:t>
      </w:r>
      <w:r w:rsidRPr="00C13152">
        <w:rPr>
          <w:rStyle w:val="Forte"/>
          <w:rFonts w:ascii="Arial" w:hAnsi="Arial" w:cs="Arial"/>
        </w:rPr>
        <w:t>Forum Education Studies</w:t>
      </w:r>
      <w:r w:rsidRPr="00C13152">
        <w:rPr>
          <w:rFonts w:ascii="Arial" w:hAnsi="Arial" w:cs="Arial"/>
        </w:rPr>
        <w:t>, v. 2, n. 4, p. 1564, 2024. DOI: 10.59400/fes1564.</w:t>
      </w:r>
    </w:p>
    <w:p w14:paraId="6EB534E8" w14:textId="6C10DA83" w:rsidR="00C13152" w:rsidRPr="00C13152" w:rsidRDefault="00C13152" w:rsidP="00C13152">
      <w:pPr>
        <w:pStyle w:val="NormalWeb"/>
        <w:widowControl w:val="0"/>
        <w:spacing w:before="0" w:beforeAutospacing="0" w:after="240" w:afterAutospacing="0"/>
        <w:rPr>
          <w:rFonts w:ascii="Arial" w:hAnsi="Arial" w:cs="Arial"/>
        </w:rPr>
      </w:pPr>
      <w:r w:rsidRPr="00C13152">
        <w:rPr>
          <w:rFonts w:ascii="Arial" w:hAnsi="Arial" w:cs="Arial"/>
        </w:rPr>
        <w:t xml:space="preserve">ZHENG, M. </w:t>
      </w:r>
      <w:r w:rsidRPr="00C13152">
        <w:rPr>
          <w:rFonts w:ascii="Arial" w:hAnsi="Arial" w:cs="Arial"/>
          <w:i/>
        </w:rPr>
        <w:t>et al</w:t>
      </w:r>
      <w:r w:rsidRPr="00C13152">
        <w:rPr>
          <w:rFonts w:ascii="Arial" w:hAnsi="Arial" w:cs="Arial"/>
        </w:rPr>
        <w:t xml:space="preserve">. COVID academic pandemic: techno-stress faced by teaching staff for online academic activities. </w:t>
      </w:r>
      <w:r w:rsidRPr="00C13152">
        <w:rPr>
          <w:rStyle w:val="Forte"/>
          <w:rFonts w:ascii="Arial" w:hAnsi="Arial" w:cs="Arial"/>
        </w:rPr>
        <w:t>Frontiers in Psychology</w:t>
      </w:r>
      <w:r w:rsidRPr="00C13152">
        <w:rPr>
          <w:rFonts w:ascii="Arial" w:hAnsi="Arial" w:cs="Arial"/>
        </w:rPr>
        <w:t>, v. 13, 2022. DOI: 10.3389/fpsyg.2022.895371.</w:t>
      </w:r>
    </w:p>
    <w:sectPr w:rsidR="00C13152" w:rsidRPr="00C13152" w:rsidSect="008D03B3">
      <w:pgSz w:w="11910" w:h="16840" w:code="9"/>
      <w:pgMar w:top="1701" w:right="1134"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AFE1C" w14:textId="77777777" w:rsidR="002514A7" w:rsidRDefault="002514A7" w:rsidP="0057388C">
      <w:r>
        <w:separator/>
      </w:r>
    </w:p>
  </w:endnote>
  <w:endnote w:type="continuationSeparator" w:id="0">
    <w:p w14:paraId="0C6C532A" w14:textId="77777777" w:rsidR="002514A7" w:rsidRDefault="002514A7" w:rsidP="0057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4D3F3" w14:textId="77777777" w:rsidR="002514A7" w:rsidRDefault="002514A7" w:rsidP="0057388C">
      <w:r>
        <w:separator/>
      </w:r>
    </w:p>
  </w:footnote>
  <w:footnote w:type="continuationSeparator" w:id="0">
    <w:p w14:paraId="218124C9" w14:textId="77777777" w:rsidR="002514A7" w:rsidRDefault="002514A7" w:rsidP="00573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DACDC" w14:textId="69B3A835" w:rsidR="00C84713" w:rsidRDefault="00C84713">
    <w:pPr>
      <w:pStyle w:val="Cabealho"/>
    </w:pPr>
    <w:r w:rsidRPr="00D43904">
      <w:rPr>
        <w:rFonts w:cstheme="minorHAnsi"/>
        <w:noProof/>
        <w:lang w:val="pt-BR" w:eastAsia="pt-BR"/>
      </w:rPr>
      <w:drawing>
        <wp:inline distT="0" distB="0" distL="0" distR="0" wp14:anchorId="2C48ED05" wp14:editId="04B9A4A6">
          <wp:extent cx="2244493" cy="546462"/>
          <wp:effectExtent l="0" t="0" r="3810" b="6350"/>
          <wp:docPr id="25" name="Imagem 6">
            <a:extLst xmlns:a="http://schemas.openxmlformats.org/drawingml/2006/main">
              <a:ext uri="{FF2B5EF4-FFF2-40B4-BE49-F238E27FC236}">
                <a16:creationId xmlns:a16="http://schemas.microsoft.com/office/drawing/2014/main" id="{E0D838E6-8A11-4778-B91F-FD22F0012A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E0D838E6-8A11-4778-B91F-FD22F0012A37}"/>
                      </a:ext>
                    </a:extLst>
                  </pic:cNvPr>
                  <pic:cNvPicPr>
                    <a:picLocks noChangeAspect="1"/>
                  </pic:cNvPicPr>
                </pic:nvPicPr>
                <pic:blipFill>
                  <a:blip r:embed="rId1" cstate="print">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44493" cy="5464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74DF1"/>
    <w:multiLevelType w:val="multilevel"/>
    <w:tmpl w:val="D8B65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67606E"/>
    <w:multiLevelType w:val="hybridMultilevel"/>
    <w:tmpl w:val="2A6E107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AC650AF"/>
    <w:multiLevelType w:val="multilevel"/>
    <w:tmpl w:val="2C52A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441953"/>
    <w:multiLevelType w:val="multilevel"/>
    <w:tmpl w:val="6E146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9064E4"/>
    <w:multiLevelType w:val="multilevel"/>
    <w:tmpl w:val="B9A45634"/>
    <w:lvl w:ilvl="0">
      <w:start w:val="1"/>
      <w:numFmt w:val="decimal"/>
      <w:lvlText w:val="%1"/>
      <w:lvlJc w:val="left"/>
      <w:pPr>
        <w:ind w:left="2893" w:hanging="199"/>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388" w:hanging="386"/>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400" w:hanging="386"/>
      </w:pPr>
      <w:rPr>
        <w:rFonts w:hint="default"/>
        <w:lang w:val="pt-PT" w:eastAsia="en-US" w:bidi="ar-SA"/>
      </w:rPr>
    </w:lvl>
    <w:lvl w:ilvl="3">
      <w:numFmt w:val="bullet"/>
      <w:lvlText w:val="•"/>
      <w:lvlJc w:val="left"/>
      <w:pPr>
        <w:ind w:left="1501" w:hanging="386"/>
      </w:pPr>
      <w:rPr>
        <w:rFonts w:hint="default"/>
        <w:lang w:val="pt-PT" w:eastAsia="en-US" w:bidi="ar-SA"/>
      </w:rPr>
    </w:lvl>
    <w:lvl w:ilvl="4">
      <w:numFmt w:val="bullet"/>
      <w:lvlText w:val="•"/>
      <w:lvlJc w:val="left"/>
      <w:pPr>
        <w:ind w:left="2603" w:hanging="386"/>
      </w:pPr>
      <w:rPr>
        <w:rFonts w:hint="default"/>
        <w:lang w:val="pt-PT" w:eastAsia="en-US" w:bidi="ar-SA"/>
      </w:rPr>
    </w:lvl>
    <w:lvl w:ilvl="5">
      <w:numFmt w:val="bullet"/>
      <w:lvlText w:val="•"/>
      <w:lvlJc w:val="left"/>
      <w:pPr>
        <w:ind w:left="3705" w:hanging="386"/>
      </w:pPr>
      <w:rPr>
        <w:rFonts w:hint="default"/>
        <w:lang w:val="pt-PT" w:eastAsia="en-US" w:bidi="ar-SA"/>
      </w:rPr>
    </w:lvl>
    <w:lvl w:ilvl="6">
      <w:numFmt w:val="bullet"/>
      <w:lvlText w:val="•"/>
      <w:lvlJc w:val="left"/>
      <w:pPr>
        <w:ind w:left="4807" w:hanging="386"/>
      </w:pPr>
      <w:rPr>
        <w:rFonts w:hint="default"/>
        <w:lang w:val="pt-PT" w:eastAsia="en-US" w:bidi="ar-SA"/>
      </w:rPr>
    </w:lvl>
    <w:lvl w:ilvl="7">
      <w:numFmt w:val="bullet"/>
      <w:lvlText w:val="•"/>
      <w:lvlJc w:val="left"/>
      <w:pPr>
        <w:ind w:left="5909" w:hanging="386"/>
      </w:pPr>
      <w:rPr>
        <w:rFonts w:hint="default"/>
        <w:lang w:val="pt-PT" w:eastAsia="en-US" w:bidi="ar-SA"/>
      </w:rPr>
    </w:lvl>
    <w:lvl w:ilvl="8">
      <w:numFmt w:val="bullet"/>
      <w:lvlText w:val="•"/>
      <w:lvlJc w:val="left"/>
      <w:pPr>
        <w:ind w:left="7010" w:hanging="386"/>
      </w:pPr>
      <w:rPr>
        <w:rFonts w:hint="default"/>
        <w:lang w:val="pt-PT" w:eastAsia="en-US" w:bidi="ar-SA"/>
      </w:rPr>
    </w:lvl>
  </w:abstractNum>
  <w:abstractNum w:abstractNumId="5" w15:restartNumberingAfterBreak="0">
    <w:nsid w:val="23F6453C"/>
    <w:multiLevelType w:val="hybridMultilevel"/>
    <w:tmpl w:val="935836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49802D8"/>
    <w:multiLevelType w:val="multilevel"/>
    <w:tmpl w:val="93AEF3CA"/>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7" w15:restartNumberingAfterBreak="0">
    <w:nsid w:val="30C06869"/>
    <w:multiLevelType w:val="multilevel"/>
    <w:tmpl w:val="998AC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876345"/>
    <w:multiLevelType w:val="hybridMultilevel"/>
    <w:tmpl w:val="1A4E77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A563465"/>
    <w:multiLevelType w:val="hybridMultilevel"/>
    <w:tmpl w:val="46A453DC"/>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DE0776D"/>
    <w:multiLevelType w:val="multilevel"/>
    <w:tmpl w:val="CF8225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C13311A"/>
    <w:multiLevelType w:val="hybridMultilevel"/>
    <w:tmpl w:val="C52841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E625956"/>
    <w:multiLevelType w:val="multilevel"/>
    <w:tmpl w:val="41CA3D10"/>
    <w:lvl w:ilvl="0">
      <w:start w:val="1"/>
      <w:numFmt w:val="decimal"/>
      <w:lvlText w:val="%1."/>
      <w:lvlJc w:val="left"/>
      <w:pPr>
        <w:ind w:left="409" w:hanging="268"/>
      </w:pPr>
      <w:rPr>
        <w:rFonts w:ascii="Arial" w:eastAsia="Arial" w:hAnsi="Arial" w:cs="Arial" w:hint="default"/>
        <w:b/>
        <w:bCs/>
        <w:i w:val="0"/>
        <w:iCs w:val="0"/>
        <w:spacing w:val="-2"/>
        <w:w w:val="100"/>
        <w:sz w:val="24"/>
        <w:szCs w:val="24"/>
        <w:lang w:val="pt-PT" w:eastAsia="en-US" w:bidi="ar-SA"/>
      </w:rPr>
    </w:lvl>
    <w:lvl w:ilvl="1">
      <w:start w:val="1"/>
      <w:numFmt w:val="decimal"/>
      <w:lvlText w:val="%1.%2"/>
      <w:lvlJc w:val="left"/>
      <w:pPr>
        <w:ind w:left="902" w:hanging="401"/>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1"/>
      </w:pPr>
      <w:rPr>
        <w:rFonts w:hint="default"/>
        <w:lang w:val="pt-PT" w:eastAsia="en-US" w:bidi="ar-SA"/>
      </w:rPr>
    </w:lvl>
    <w:lvl w:ilvl="3">
      <w:numFmt w:val="bullet"/>
      <w:lvlText w:val="•"/>
      <w:lvlJc w:val="left"/>
      <w:pPr>
        <w:ind w:left="2779" w:hanging="401"/>
      </w:pPr>
      <w:rPr>
        <w:rFonts w:hint="default"/>
        <w:lang w:val="pt-PT" w:eastAsia="en-US" w:bidi="ar-SA"/>
      </w:rPr>
    </w:lvl>
    <w:lvl w:ilvl="4">
      <w:numFmt w:val="bullet"/>
      <w:lvlText w:val="•"/>
      <w:lvlJc w:val="left"/>
      <w:pPr>
        <w:ind w:left="3719" w:hanging="401"/>
      </w:pPr>
      <w:rPr>
        <w:rFonts w:hint="default"/>
        <w:lang w:val="pt-PT" w:eastAsia="en-US" w:bidi="ar-SA"/>
      </w:rPr>
    </w:lvl>
    <w:lvl w:ilvl="5">
      <w:numFmt w:val="bullet"/>
      <w:lvlText w:val="•"/>
      <w:lvlJc w:val="left"/>
      <w:pPr>
        <w:ind w:left="4658" w:hanging="401"/>
      </w:pPr>
      <w:rPr>
        <w:rFonts w:hint="default"/>
        <w:lang w:val="pt-PT" w:eastAsia="en-US" w:bidi="ar-SA"/>
      </w:rPr>
    </w:lvl>
    <w:lvl w:ilvl="6">
      <w:numFmt w:val="bullet"/>
      <w:lvlText w:val="•"/>
      <w:lvlJc w:val="left"/>
      <w:pPr>
        <w:ind w:left="5598" w:hanging="401"/>
      </w:pPr>
      <w:rPr>
        <w:rFonts w:hint="default"/>
        <w:lang w:val="pt-PT" w:eastAsia="en-US" w:bidi="ar-SA"/>
      </w:rPr>
    </w:lvl>
    <w:lvl w:ilvl="7">
      <w:numFmt w:val="bullet"/>
      <w:lvlText w:val="•"/>
      <w:lvlJc w:val="left"/>
      <w:pPr>
        <w:ind w:left="6538" w:hanging="401"/>
      </w:pPr>
      <w:rPr>
        <w:rFonts w:hint="default"/>
        <w:lang w:val="pt-PT" w:eastAsia="en-US" w:bidi="ar-SA"/>
      </w:rPr>
    </w:lvl>
    <w:lvl w:ilvl="8">
      <w:numFmt w:val="bullet"/>
      <w:lvlText w:val="•"/>
      <w:lvlJc w:val="left"/>
      <w:pPr>
        <w:ind w:left="7477" w:hanging="401"/>
      </w:pPr>
      <w:rPr>
        <w:rFonts w:hint="default"/>
        <w:lang w:val="pt-PT" w:eastAsia="en-US" w:bidi="ar-SA"/>
      </w:rPr>
    </w:lvl>
  </w:abstractNum>
  <w:abstractNum w:abstractNumId="13" w15:restartNumberingAfterBreak="0">
    <w:nsid w:val="5642661A"/>
    <w:multiLevelType w:val="hybridMultilevel"/>
    <w:tmpl w:val="7BB8B566"/>
    <w:lvl w:ilvl="0" w:tplc="31EC87C0">
      <w:start w:val="1"/>
      <w:numFmt w:val="decimal"/>
      <w:lvlText w:val="%1."/>
      <w:lvlJc w:val="left"/>
      <w:pPr>
        <w:ind w:left="1931" w:hanging="360"/>
      </w:pPr>
      <w:rPr>
        <w:rFonts w:hint="default"/>
      </w:rPr>
    </w:lvl>
    <w:lvl w:ilvl="1" w:tplc="04160019" w:tentative="1">
      <w:start w:val="1"/>
      <w:numFmt w:val="lowerLetter"/>
      <w:lvlText w:val="%2."/>
      <w:lvlJc w:val="left"/>
      <w:pPr>
        <w:ind w:left="2651" w:hanging="360"/>
      </w:pPr>
    </w:lvl>
    <w:lvl w:ilvl="2" w:tplc="0416001B" w:tentative="1">
      <w:start w:val="1"/>
      <w:numFmt w:val="lowerRoman"/>
      <w:lvlText w:val="%3."/>
      <w:lvlJc w:val="right"/>
      <w:pPr>
        <w:ind w:left="3371" w:hanging="180"/>
      </w:pPr>
    </w:lvl>
    <w:lvl w:ilvl="3" w:tplc="0416000F" w:tentative="1">
      <w:start w:val="1"/>
      <w:numFmt w:val="decimal"/>
      <w:lvlText w:val="%4."/>
      <w:lvlJc w:val="left"/>
      <w:pPr>
        <w:ind w:left="4091" w:hanging="360"/>
      </w:pPr>
    </w:lvl>
    <w:lvl w:ilvl="4" w:tplc="04160019" w:tentative="1">
      <w:start w:val="1"/>
      <w:numFmt w:val="lowerLetter"/>
      <w:lvlText w:val="%5."/>
      <w:lvlJc w:val="left"/>
      <w:pPr>
        <w:ind w:left="4811" w:hanging="360"/>
      </w:pPr>
    </w:lvl>
    <w:lvl w:ilvl="5" w:tplc="0416001B" w:tentative="1">
      <w:start w:val="1"/>
      <w:numFmt w:val="lowerRoman"/>
      <w:lvlText w:val="%6."/>
      <w:lvlJc w:val="right"/>
      <w:pPr>
        <w:ind w:left="5531" w:hanging="180"/>
      </w:pPr>
    </w:lvl>
    <w:lvl w:ilvl="6" w:tplc="0416000F" w:tentative="1">
      <w:start w:val="1"/>
      <w:numFmt w:val="decimal"/>
      <w:lvlText w:val="%7."/>
      <w:lvlJc w:val="left"/>
      <w:pPr>
        <w:ind w:left="6251" w:hanging="360"/>
      </w:pPr>
    </w:lvl>
    <w:lvl w:ilvl="7" w:tplc="04160019" w:tentative="1">
      <w:start w:val="1"/>
      <w:numFmt w:val="lowerLetter"/>
      <w:lvlText w:val="%8."/>
      <w:lvlJc w:val="left"/>
      <w:pPr>
        <w:ind w:left="6971" w:hanging="360"/>
      </w:pPr>
    </w:lvl>
    <w:lvl w:ilvl="8" w:tplc="0416001B" w:tentative="1">
      <w:start w:val="1"/>
      <w:numFmt w:val="lowerRoman"/>
      <w:lvlText w:val="%9."/>
      <w:lvlJc w:val="right"/>
      <w:pPr>
        <w:ind w:left="7691" w:hanging="180"/>
      </w:pPr>
    </w:lvl>
  </w:abstractNum>
  <w:abstractNum w:abstractNumId="14" w15:restartNumberingAfterBreak="0">
    <w:nsid w:val="5B260304"/>
    <w:multiLevelType w:val="multilevel"/>
    <w:tmpl w:val="9B8A8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6523A0"/>
    <w:multiLevelType w:val="multilevel"/>
    <w:tmpl w:val="0FC2CA76"/>
    <w:lvl w:ilvl="0">
      <w:start w:val="1"/>
      <w:numFmt w:val="decimal"/>
      <w:lvlText w:val="%1."/>
      <w:lvlJc w:val="left"/>
      <w:pPr>
        <w:ind w:left="449" w:hanging="309"/>
      </w:pPr>
      <w:rPr>
        <w:rFonts w:ascii="Arial" w:eastAsia="Arial" w:hAnsi="Arial" w:cs="Arial" w:hint="default"/>
        <w:b/>
        <w:bCs/>
        <w:i w:val="0"/>
        <w:iCs w:val="0"/>
        <w:spacing w:val="0"/>
        <w:w w:val="100"/>
        <w:sz w:val="28"/>
        <w:szCs w:val="28"/>
        <w:lang w:val="pt-PT" w:eastAsia="en-US" w:bidi="ar-SA"/>
      </w:rPr>
    </w:lvl>
    <w:lvl w:ilvl="1">
      <w:start w:val="1"/>
      <w:numFmt w:val="decimal"/>
      <w:lvlText w:val="%1.%2"/>
      <w:lvlJc w:val="left"/>
      <w:pPr>
        <w:ind w:left="900" w:hanging="400"/>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0"/>
      </w:pPr>
      <w:rPr>
        <w:rFonts w:hint="default"/>
        <w:lang w:val="pt-PT" w:eastAsia="en-US" w:bidi="ar-SA"/>
      </w:rPr>
    </w:lvl>
    <w:lvl w:ilvl="3">
      <w:numFmt w:val="bullet"/>
      <w:lvlText w:val="•"/>
      <w:lvlJc w:val="left"/>
      <w:pPr>
        <w:ind w:left="2779" w:hanging="400"/>
      </w:pPr>
      <w:rPr>
        <w:rFonts w:hint="default"/>
        <w:lang w:val="pt-PT" w:eastAsia="en-US" w:bidi="ar-SA"/>
      </w:rPr>
    </w:lvl>
    <w:lvl w:ilvl="4">
      <w:numFmt w:val="bullet"/>
      <w:lvlText w:val="•"/>
      <w:lvlJc w:val="left"/>
      <w:pPr>
        <w:ind w:left="3719" w:hanging="400"/>
      </w:pPr>
      <w:rPr>
        <w:rFonts w:hint="default"/>
        <w:lang w:val="pt-PT" w:eastAsia="en-US" w:bidi="ar-SA"/>
      </w:rPr>
    </w:lvl>
    <w:lvl w:ilvl="5">
      <w:numFmt w:val="bullet"/>
      <w:lvlText w:val="•"/>
      <w:lvlJc w:val="left"/>
      <w:pPr>
        <w:ind w:left="4658" w:hanging="400"/>
      </w:pPr>
      <w:rPr>
        <w:rFonts w:hint="default"/>
        <w:lang w:val="pt-PT" w:eastAsia="en-US" w:bidi="ar-SA"/>
      </w:rPr>
    </w:lvl>
    <w:lvl w:ilvl="6">
      <w:numFmt w:val="bullet"/>
      <w:lvlText w:val="•"/>
      <w:lvlJc w:val="left"/>
      <w:pPr>
        <w:ind w:left="5598" w:hanging="400"/>
      </w:pPr>
      <w:rPr>
        <w:rFonts w:hint="default"/>
        <w:lang w:val="pt-PT" w:eastAsia="en-US" w:bidi="ar-SA"/>
      </w:rPr>
    </w:lvl>
    <w:lvl w:ilvl="7">
      <w:numFmt w:val="bullet"/>
      <w:lvlText w:val="•"/>
      <w:lvlJc w:val="left"/>
      <w:pPr>
        <w:ind w:left="6538" w:hanging="400"/>
      </w:pPr>
      <w:rPr>
        <w:rFonts w:hint="default"/>
        <w:lang w:val="pt-PT" w:eastAsia="en-US" w:bidi="ar-SA"/>
      </w:rPr>
    </w:lvl>
    <w:lvl w:ilvl="8">
      <w:numFmt w:val="bullet"/>
      <w:lvlText w:val="•"/>
      <w:lvlJc w:val="left"/>
      <w:pPr>
        <w:ind w:left="7477" w:hanging="400"/>
      </w:pPr>
      <w:rPr>
        <w:rFonts w:hint="default"/>
        <w:lang w:val="pt-PT" w:eastAsia="en-US" w:bidi="ar-SA"/>
      </w:rPr>
    </w:lvl>
  </w:abstractNum>
  <w:abstractNum w:abstractNumId="16" w15:restartNumberingAfterBreak="0">
    <w:nsid w:val="5EF36502"/>
    <w:multiLevelType w:val="hybridMultilevel"/>
    <w:tmpl w:val="09DA6E16"/>
    <w:lvl w:ilvl="0" w:tplc="739CB09E">
      <w:start w:val="1"/>
      <w:numFmt w:val="decimal"/>
      <w:lvlText w:val="%1."/>
      <w:lvlJc w:val="left"/>
      <w:pPr>
        <w:ind w:left="362" w:hanging="360"/>
      </w:pPr>
      <w:rPr>
        <w:rFonts w:ascii="Arial" w:hint="default"/>
        <w:b/>
      </w:rPr>
    </w:lvl>
    <w:lvl w:ilvl="1" w:tplc="04160019">
      <w:start w:val="1"/>
      <w:numFmt w:val="lowerLetter"/>
      <w:lvlText w:val="%2."/>
      <w:lvlJc w:val="left"/>
      <w:pPr>
        <w:ind w:left="1082" w:hanging="360"/>
      </w:pPr>
    </w:lvl>
    <w:lvl w:ilvl="2" w:tplc="0416001B" w:tentative="1">
      <w:start w:val="1"/>
      <w:numFmt w:val="lowerRoman"/>
      <w:lvlText w:val="%3."/>
      <w:lvlJc w:val="right"/>
      <w:pPr>
        <w:ind w:left="1802" w:hanging="180"/>
      </w:pPr>
    </w:lvl>
    <w:lvl w:ilvl="3" w:tplc="0416000F" w:tentative="1">
      <w:start w:val="1"/>
      <w:numFmt w:val="decimal"/>
      <w:lvlText w:val="%4."/>
      <w:lvlJc w:val="left"/>
      <w:pPr>
        <w:ind w:left="2522" w:hanging="360"/>
      </w:pPr>
    </w:lvl>
    <w:lvl w:ilvl="4" w:tplc="04160019" w:tentative="1">
      <w:start w:val="1"/>
      <w:numFmt w:val="lowerLetter"/>
      <w:lvlText w:val="%5."/>
      <w:lvlJc w:val="left"/>
      <w:pPr>
        <w:ind w:left="3242" w:hanging="360"/>
      </w:pPr>
    </w:lvl>
    <w:lvl w:ilvl="5" w:tplc="0416001B" w:tentative="1">
      <w:start w:val="1"/>
      <w:numFmt w:val="lowerRoman"/>
      <w:lvlText w:val="%6."/>
      <w:lvlJc w:val="right"/>
      <w:pPr>
        <w:ind w:left="3962" w:hanging="180"/>
      </w:pPr>
    </w:lvl>
    <w:lvl w:ilvl="6" w:tplc="0416000F" w:tentative="1">
      <w:start w:val="1"/>
      <w:numFmt w:val="decimal"/>
      <w:lvlText w:val="%7."/>
      <w:lvlJc w:val="left"/>
      <w:pPr>
        <w:ind w:left="4682" w:hanging="360"/>
      </w:pPr>
    </w:lvl>
    <w:lvl w:ilvl="7" w:tplc="04160019" w:tentative="1">
      <w:start w:val="1"/>
      <w:numFmt w:val="lowerLetter"/>
      <w:lvlText w:val="%8."/>
      <w:lvlJc w:val="left"/>
      <w:pPr>
        <w:ind w:left="5402" w:hanging="360"/>
      </w:pPr>
    </w:lvl>
    <w:lvl w:ilvl="8" w:tplc="0416001B" w:tentative="1">
      <w:start w:val="1"/>
      <w:numFmt w:val="lowerRoman"/>
      <w:lvlText w:val="%9."/>
      <w:lvlJc w:val="right"/>
      <w:pPr>
        <w:ind w:left="6122" w:hanging="180"/>
      </w:pPr>
    </w:lvl>
  </w:abstractNum>
  <w:abstractNum w:abstractNumId="17" w15:restartNumberingAfterBreak="0">
    <w:nsid w:val="637663F1"/>
    <w:multiLevelType w:val="multilevel"/>
    <w:tmpl w:val="E4B81690"/>
    <w:lvl w:ilvl="0">
      <w:start w:val="3"/>
      <w:numFmt w:val="decimal"/>
      <w:lvlText w:val="%1"/>
      <w:lvlJc w:val="left"/>
      <w:pPr>
        <w:ind w:left="589" w:hanging="588"/>
      </w:pPr>
      <w:rPr>
        <w:rFonts w:hint="default"/>
        <w:lang w:val="pt-PT" w:eastAsia="en-US" w:bidi="ar-SA"/>
      </w:rPr>
    </w:lvl>
    <w:lvl w:ilvl="1">
      <w:start w:val="1"/>
      <w:numFmt w:val="decimal"/>
      <w:lvlText w:val="%1.%2"/>
      <w:lvlJc w:val="left"/>
      <w:pPr>
        <w:ind w:left="589" w:hanging="588"/>
      </w:pPr>
      <w:rPr>
        <w:rFonts w:hint="default"/>
        <w:lang w:val="pt-PT" w:eastAsia="en-US" w:bidi="ar-SA"/>
      </w:rPr>
    </w:lvl>
    <w:lvl w:ilvl="2">
      <w:start w:val="2"/>
      <w:numFmt w:val="decimal"/>
      <w:lvlText w:val="%1.%2.%3"/>
      <w:lvlJc w:val="left"/>
      <w:pPr>
        <w:ind w:left="589" w:hanging="588"/>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170" w:hanging="588"/>
      </w:pPr>
      <w:rPr>
        <w:rFonts w:hint="default"/>
        <w:lang w:val="pt-PT" w:eastAsia="en-US" w:bidi="ar-SA"/>
      </w:rPr>
    </w:lvl>
    <w:lvl w:ilvl="4">
      <w:numFmt w:val="bullet"/>
      <w:lvlText w:val="•"/>
      <w:lvlJc w:val="left"/>
      <w:pPr>
        <w:ind w:left="4033" w:hanging="588"/>
      </w:pPr>
      <w:rPr>
        <w:rFonts w:hint="default"/>
        <w:lang w:val="pt-PT" w:eastAsia="en-US" w:bidi="ar-SA"/>
      </w:rPr>
    </w:lvl>
    <w:lvl w:ilvl="5">
      <w:numFmt w:val="bullet"/>
      <w:lvlText w:val="•"/>
      <w:lvlJc w:val="left"/>
      <w:pPr>
        <w:ind w:left="4897" w:hanging="588"/>
      </w:pPr>
      <w:rPr>
        <w:rFonts w:hint="default"/>
        <w:lang w:val="pt-PT" w:eastAsia="en-US" w:bidi="ar-SA"/>
      </w:rPr>
    </w:lvl>
    <w:lvl w:ilvl="6">
      <w:numFmt w:val="bullet"/>
      <w:lvlText w:val="•"/>
      <w:lvlJc w:val="left"/>
      <w:pPr>
        <w:ind w:left="5760" w:hanging="588"/>
      </w:pPr>
      <w:rPr>
        <w:rFonts w:hint="default"/>
        <w:lang w:val="pt-PT" w:eastAsia="en-US" w:bidi="ar-SA"/>
      </w:rPr>
    </w:lvl>
    <w:lvl w:ilvl="7">
      <w:numFmt w:val="bullet"/>
      <w:lvlText w:val="•"/>
      <w:lvlJc w:val="left"/>
      <w:pPr>
        <w:ind w:left="6624" w:hanging="588"/>
      </w:pPr>
      <w:rPr>
        <w:rFonts w:hint="default"/>
        <w:lang w:val="pt-PT" w:eastAsia="en-US" w:bidi="ar-SA"/>
      </w:rPr>
    </w:lvl>
    <w:lvl w:ilvl="8">
      <w:numFmt w:val="bullet"/>
      <w:lvlText w:val="•"/>
      <w:lvlJc w:val="left"/>
      <w:pPr>
        <w:ind w:left="7487" w:hanging="588"/>
      </w:pPr>
      <w:rPr>
        <w:rFonts w:hint="default"/>
        <w:lang w:val="pt-PT" w:eastAsia="en-US" w:bidi="ar-SA"/>
      </w:rPr>
    </w:lvl>
  </w:abstractNum>
  <w:abstractNum w:abstractNumId="18" w15:restartNumberingAfterBreak="0">
    <w:nsid w:val="66AE7A8F"/>
    <w:multiLevelType w:val="multilevel"/>
    <w:tmpl w:val="16EEF26E"/>
    <w:lvl w:ilvl="0">
      <w:start w:val="2"/>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576" w:hanging="1800"/>
      </w:pPr>
      <w:rPr>
        <w:rFonts w:hint="default"/>
      </w:rPr>
    </w:lvl>
  </w:abstractNum>
  <w:num w:numId="1">
    <w:abstractNumId w:val="15"/>
  </w:num>
  <w:num w:numId="2">
    <w:abstractNumId w:val="12"/>
  </w:num>
  <w:num w:numId="3">
    <w:abstractNumId w:val="17"/>
  </w:num>
  <w:num w:numId="4">
    <w:abstractNumId w:val="4"/>
  </w:num>
  <w:num w:numId="5">
    <w:abstractNumId w:val="16"/>
  </w:num>
  <w:num w:numId="6">
    <w:abstractNumId w:val="6"/>
  </w:num>
  <w:num w:numId="7">
    <w:abstractNumId w:val="18"/>
  </w:num>
  <w:num w:numId="8">
    <w:abstractNumId w:val="10"/>
  </w:num>
  <w:num w:numId="9">
    <w:abstractNumId w:val="2"/>
  </w:num>
  <w:num w:numId="10">
    <w:abstractNumId w:val="0"/>
  </w:num>
  <w:num w:numId="11">
    <w:abstractNumId w:val="7"/>
  </w:num>
  <w:num w:numId="12">
    <w:abstractNumId w:val="3"/>
  </w:num>
  <w:num w:numId="13">
    <w:abstractNumId w:val="14"/>
  </w:num>
  <w:num w:numId="14">
    <w:abstractNumId w:val="5"/>
  </w:num>
  <w:num w:numId="15">
    <w:abstractNumId w:val="1"/>
  </w:num>
  <w:num w:numId="16">
    <w:abstractNumId w:val="11"/>
  </w:num>
  <w:num w:numId="17">
    <w:abstractNumId w:val="9"/>
  </w:num>
  <w:num w:numId="18">
    <w:abstractNumId w:val="8"/>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27"/>
    <w:rsid w:val="00057FF9"/>
    <w:rsid w:val="000D3787"/>
    <w:rsid w:val="000F76C3"/>
    <w:rsid w:val="00135365"/>
    <w:rsid w:val="001D31E8"/>
    <w:rsid w:val="002514A7"/>
    <w:rsid w:val="002F5913"/>
    <w:rsid w:val="003823C0"/>
    <w:rsid w:val="003C6E65"/>
    <w:rsid w:val="003D01D7"/>
    <w:rsid w:val="00403306"/>
    <w:rsid w:val="00420BFC"/>
    <w:rsid w:val="00452F55"/>
    <w:rsid w:val="00492DCA"/>
    <w:rsid w:val="00505607"/>
    <w:rsid w:val="0055277D"/>
    <w:rsid w:val="00561499"/>
    <w:rsid w:val="0057388C"/>
    <w:rsid w:val="00606A25"/>
    <w:rsid w:val="006111A1"/>
    <w:rsid w:val="0065695D"/>
    <w:rsid w:val="00657A9E"/>
    <w:rsid w:val="00672B6B"/>
    <w:rsid w:val="006C3EEF"/>
    <w:rsid w:val="006E03F6"/>
    <w:rsid w:val="006E2A73"/>
    <w:rsid w:val="0072495D"/>
    <w:rsid w:val="007627DB"/>
    <w:rsid w:val="007A545C"/>
    <w:rsid w:val="007D1778"/>
    <w:rsid w:val="007F07D4"/>
    <w:rsid w:val="00857625"/>
    <w:rsid w:val="008A4345"/>
    <w:rsid w:val="008A45B4"/>
    <w:rsid w:val="008D03B3"/>
    <w:rsid w:val="008F15A8"/>
    <w:rsid w:val="00947160"/>
    <w:rsid w:val="009616AC"/>
    <w:rsid w:val="00994287"/>
    <w:rsid w:val="009A0626"/>
    <w:rsid w:val="009D467F"/>
    <w:rsid w:val="00A51F23"/>
    <w:rsid w:val="00A76C63"/>
    <w:rsid w:val="00A97A4A"/>
    <w:rsid w:val="00AE1B1D"/>
    <w:rsid w:val="00B51677"/>
    <w:rsid w:val="00B53C99"/>
    <w:rsid w:val="00C13152"/>
    <w:rsid w:val="00C13A8C"/>
    <w:rsid w:val="00C14B27"/>
    <w:rsid w:val="00C27F91"/>
    <w:rsid w:val="00C46AAE"/>
    <w:rsid w:val="00C60765"/>
    <w:rsid w:val="00C84713"/>
    <w:rsid w:val="00CC1005"/>
    <w:rsid w:val="00CD5B24"/>
    <w:rsid w:val="00D02926"/>
    <w:rsid w:val="00D86990"/>
    <w:rsid w:val="00DA03C3"/>
    <w:rsid w:val="00DD37D4"/>
    <w:rsid w:val="00DF7D93"/>
    <w:rsid w:val="00E37B73"/>
    <w:rsid w:val="00E52C81"/>
    <w:rsid w:val="00E60A37"/>
    <w:rsid w:val="00E80231"/>
    <w:rsid w:val="00E80821"/>
    <w:rsid w:val="00E92707"/>
    <w:rsid w:val="00ED1542"/>
    <w:rsid w:val="00F04FA3"/>
    <w:rsid w:val="00F34B38"/>
    <w:rsid w:val="00F45082"/>
    <w:rsid w:val="00F52B27"/>
    <w:rsid w:val="00F64C3D"/>
    <w:rsid w:val="00F71754"/>
    <w:rsid w:val="00F9075E"/>
    <w:rsid w:val="00F91F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4AE8"/>
  <w15:docId w15:val="{05C0861D-2A6A-4B44-945E-7AB05285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74"/>
      <w:ind w:left="72"/>
      <w:outlineLvl w:val="0"/>
    </w:pPr>
    <w:rPr>
      <w:rFonts w:ascii="Arial" w:eastAsia="Arial" w:hAnsi="Arial" w:cs="Arial"/>
      <w:b/>
      <w:bCs/>
      <w:sz w:val="28"/>
      <w:szCs w:val="28"/>
    </w:rPr>
  </w:style>
  <w:style w:type="paragraph" w:styleId="Ttulo2">
    <w:name w:val="heading 2"/>
    <w:basedOn w:val="Normal"/>
    <w:link w:val="Ttulo2Char"/>
    <w:uiPriority w:val="9"/>
    <w:unhideWhenUsed/>
    <w:qFormat/>
    <w:pPr>
      <w:ind w:left="72"/>
      <w:jc w:val="center"/>
      <w:outlineLvl w:val="1"/>
    </w:pPr>
    <w:rPr>
      <w:rFonts w:ascii="Arial" w:eastAsia="Arial" w:hAnsi="Arial" w:cs="Arial"/>
      <w:b/>
      <w:bCs/>
      <w:sz w:val="24"/>
      <w:szCs w:val="24"/>
    </w:rPr>
  </w:style>
  <w:style w:type="paragraph" w:styleId="Ttulo3">
    <w:name w:val="heading 3"/>
    <w:basedOn w:val="Normal"/>
    <w:next w:val="Normal"/>
    <w:link w:val="Ttulo3Char"/>
    <w:uiPriority w:val="9"/>
    <w:semiHidden/>
    <w:unhideWhenUsed/>
    <w:qFormat/>
    <w:rsid w:val="00F4508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E37B7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407" w:hanging="307"/>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55277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2">
    <w:name w:val="toc 2"/>
    <w:basedOn w:val="Normal"/>
    <w:next w:val="Normal"/>
    <w:autoRedefine/>
    <w:uiPriority w:val="39"/>
    <w:unhideWhenUsed/>
    <w:rsid w:val="0055277D"/>
    <w:pPr>
      <w:spacing w:before="120"/>
      <w:ind w:left="220"/>
    </w:pPr>
    <w:rPr>
      <w:rFonts w:asciiTheme="minorHAnsi" w:hAnsiTheme="minorHAnsi" w:cstheme="minorHAnsi"/>
      <w:b/>
      <w:bCs/>
    </w:rPr>
  </w:style>
  <w:style w:type="paragraph" w:styleId="Sumrio1">
    <w:name w:val="toc 1"/>
    <w:basedOn w:val="Normal"/>
    <w:next w:val="Normal"/>
    <w:autoRedefine/>
    <w:uiPriority w:val="39"/>
    <w:unhideWhenUsed/>
    <w:rsid w:val="0055277D"/>
    <w:pPr>
      <w:spacing w:before="120"/>
    </w:pPr>
    <w:rPr>
      <w:rFonts w:asciiTheme="minorHAnsi" w:hAnsiTheme="minorHAnsi" w:cstheme="minorHAnsi"/>
      <w:b/>
      <w:bCs/>
      <w:i/>
      <w:iCs/>
      <w:sz w:val="24"/>
      <w:szCs w:val="24"/>
    </w:rPr>
  </w:style>
  <w:style w:type="paragraph" w:styleId="Sumrio3">
    <w:name w:val="toc 3"/>
    <w:basedOn w:val="Normal"/>
    <w:next w:val="Normal"/>
    <w:autoRedefine/>
    <w:uiPriority w:val="39"/>
    <w:unhideWhenUsed/>
    <w:rsid w:val="0055277D"/>
    <w:pPr>
      <w:ind w:left="440"/>
    </w:pPr>
    <w:rPr>
      <w:rFonts w:asciiTheme="minorHAnsi" w:hAnsiTheme="minorHAnsi" w:cstheme="minorHAnsi"/>
      <w:sz w:val="20"/>
      <w:szCs w:val="20"/>
    </w:rPr>
  </w:style>
  <w:style w:type="paragraph" w:styleId="Pr-formataoHTML">
    <w:name w:val="HTML Preformatted"/>
    <w:basedOn w:val="Normal"/>
    <w:link w:val="Pr-formataoHTMLChar"/>
    <w:uiPriority w:val="99"/>
    <w:semiHidden/>
    <w:unhideWhenUsed/>
    <w:rsid w:val="00135365"/>
    <w:rPr>
      <w:rFonts w:ascii="Consolas" w:hAnsi="Consolas"/>
      <w:sz w:val="20"/>
      <w:szCs w:val="20"/>
    </w:rPr>
  </w:style>
  <w:style w:type="character" w:customStyle="1" w:styleId="Pr-formataoHTMLChar">
    <w:name w:val="Pré-formatação HTML Char"/>
    <w:basedOn w:val="Fontepargpadro"/>
    <w:link w:val="Pr-formataoHTML"/>
    <w:uiPriority w:val="99"/>
    <w:semiHidden/>
    <w:rsid w:val="00135365"/>
    <w:rPr>
      <w:rFonts w:ascii="Consolas" w:eastAsia="Arial MT" w:hAnsi="Consolas" w:cs="Arial MT"/>
      <w:sz w:val="20"/>
      <w:szCs w:val="20"/>
      <w:lang w:val="pt-PT"/>
    </w:rPr>
  </w:style>
  <w:style w:type="character" w:customStyle="1" w:styleId="Ttulo2Char">
    <w:name w:val="Título 2 Char"/>
    <w:basedOn w:val="Fontepargpadro"/>
    <w:link w:val="Ttulo2"/>
    <w:uiPriority w:val="9"/>
    <w:rsid w:val="00135365"/>
    <w:rPr>
      <w:rFonts w:ascii="Arial" w:eastAsia="Arial" w:hAnsi="Arial" w:cs="Arial"/>
      <w:b/>
      <w:bCs/>
      <w:sz w:val="24"/>
      <w:szCs w:val="24"/>
      <w:lang w:val="pt-PT"/>
    </w:rPr>
  </w:style>
  <w:style w:type="paragraph" w:styleId="NormalWeb">
    <w:name w:val="Normal (Web)"/>
    <w:basedOn w:val="Normal"/>
    <w:uiPriority w:val="99"/>
    <w:unhideWhenUsed/>
    <w:rsid w:val="0013536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unhideWhenUsed/>
    <w:rsid w:val="0057388C"/>
    <w:pPr>
      <w:tabs>
        <w:tab w:val="center" w:pos="4252"/>
        <w:tab w:val="right" w:pos="8504"/>
      </w:tabs>
    </w:pPr>
  </w:style>
  <w:style w:type="character" w:customStyle="1" w:styleId="CabealhoChar">
    <w:name w:val="Cabeçalho Char"/>
    <w:basedOn w:val="Fontepargpadro"/>
    <w:link w:val="Cabealho"/>
    <w:uiPriority w:val="99"/>
    <w:rsid w:val="0057388C"/>
    <w:rPr>
      <w:rFonts w:ascii="Arial MT" w:eastAsia="Arial MT" w:hAnsi="Arial MT" w:cs="Arial MT"/>
      <w:lang w:val="pt-PT"/>
    </w:rPr>
  </w:style>
  <w:style w:type="paragraph" w:styleId="Rodap">
    <w:name w:val="footer"/>
    <w:basedOn w:val="Normal"/>
    <w:link w:val="RodapChar"/>
    <w:uiPriority w:val="99"/>
    <w:unhideWhenUsed/>
    <w:rsid w:val="0057388C"/>
    <w:pPr>
      <w:tabs>
        <w:tab w:val="center" w:pos="4252"/>
        <w:tab w:val="right" w:pos="8504"/>
      </w:tabs>
    </w:pPr>
  </w:style>
  <w:style w:type="character" w:customStyle="1" w:styleId="RodapChar">
    <w:name w:val="Rodapé Char"/>
    <w:basedOn w:val="Fontepargpadro"/>
    <w:link w:val="Rodap"/>
    <w:uiPriority w:val="99"/>
    <w:rsid w:val="0057388C"/>
    <w:rPr>
      <w:rFonts w:ascii="Arial MT" w:eastAsia="Arial MT" w:hAnsi="Arial MT" w:cs="Arial MT"/>
      <w:lang w:val="pt-PT"/>
    </w:rPr>
  </w:style>
  <w:style w:type="character" w:customStyle="1" w:styleId="Ttulo4Char">
    <w:name w:val="Título 4 Char"/>
    <w:basedOn w:val="Fontepargpadro"/>
    <w:link w:val="Ttulo4"/>
    <w:uiPriority w:val="9"/>
    <w:semiHidden/>
    <w:rsid w:val="00E37B73"/>
    <w:rPr>
      <w:rFonts w:asciiTheme="majorHAnsi" w:eastAsiaTheme="majorEastAsia" w:hAnsiTheme="majorHAnsi" w:cstheme="majorBidi"/>
      <w:i/>
      <w:iCs/>
      <w:color w:val="365F91" w:themeColor="accent1" w:themeShade="BF"/>
      <w:lang w:val="pt-PT"/>
    </w:rPr>
  </w:style>
  <w:style w:type="character" w:customStyle="1" w:styleId="Ttulo3Char">
    <w:name w:val="Título 3 Char"/>
    <w:basedOn w:val="Fontepargpadro"/>
    <w:link w:val="Ttulo3"/>
    <w:uiPriority w:val="9"/>
    <w:semiHidden/>
    <w:rsid w:val="00F45082"/>
    <w:rPr>
      <w:rFonts w:asciiTheme="majorHAnsi" w:eastAsiaTheme="majorEastAsia" w:hAnsiTheme="majorHAnsi" w:cstheme="majorBidi"/>
      <w:color w:val="243F60" w:themeColor="accent1" w:themeShade="7F"/>
      <w:sz w:val="24"/>
      <w:szCs w:val="24"/>
      <w:lang w:val="pt-PT"/>
    </w:rPr>
  </w:style>
  <w:style w:type="character" w:styleId="Hyperlink">
    <w:name w:val="Hyperlink"/>
    <w:basedOn w:val="Fontepargpadro"/>
    <w:uiPriority w:val="99"/>
    <w:unhideWhenUsed/>
    <w:rsid w:val="006111A1"/>
    <w:rPr>
      <w:color w:val="0000FF" w:themeColor="hyperlink"/>
      <w:u w:val="single"/>
    </w:rPr>
  </w:style>
  <w:style w:type="paragraph" w:styleId="Sumrio4">
    <w:name w:val="toc 4"/>
    <w:basedOn w:val="Normal"/>
    <w:next w:val="Normal"/>
    <w:autoRedefine/>
    <w:uiPriority w:val="39"/>
    <w:semiHidden/>
    <w:unhideWhenUsed/>
    <w:rsid w:val="006111A1"/>
    <w:pPr>
      <w:ind w:left="660"/>
    </w:pPr>
    <w:rPr>
      <w:rFonts w:asciiTheme="minorHAnsi" w:hAnsiTheme="minorHAnsi" w:cstheme="minorHAnsi"/>
      <w:sz w:val="20"/>
      <w:szCs w:val="20"/>
    </w:rPr>
  </w:style>
  <w:style w:type="paragraph" w:styleId="Sumrio5">
    <w:name w:val="toc 5"/>
    <w:basedOn w:val="Normal"/>
    <w:next w:val="Normal"/>
    <w:autoRedefine/>
    <w:uiPriority w:val="39"/>
    <w:semiHidden/>
    <w:unhideWhenUsed/>
    <w:rsid w:val="006111A1"/>
    <w:pPr>
      <w:ind w:left="880"/>
    </w:pPr>
    <w:rPr>
      <w:rFonts w:asciiTheme="minorHAnsi" w:hAnsiTheme="minorHAnsi" w:cstheme="minorHAnsi"/>
      <w:sz w:val="20"/>
      <w:szCs w:val="20"/>
    </w:rPr>
  </w:style>
  <w:style w:type="paragraph" w:styleId="Sumrio6">
    <w:name w:val="toc 6"/>
    <w:basedOn w:val="Normal"/>
    <w:next w:val="Normal"/>
    <w:autoRedefine/>
    <w:uiPriority w:val="39"/>
    <w:semiHidden/>
    <w:unhideWhenUsed/>
    <w:rsid w:val="006111A1"/>
    <w:pPr>
      <w:ind w:left="1100"/>
    </w:pPr>
    <w:rPr>
      <w:rFonts w:asciiTheme="minorHAnsi" w:hAnsiTheme="minorHAnsi" w:cstheme="minorHAnsi"/>
      <w:sz w:val="20"/>
      <w:szCs w:val="20"/>
    </w:rPr>
  </w:style>
  <w:style w:type="paragraph" w:styleId="Sumrio7">
    <w:name w:val="toc 7"/>
    <w:basedOn w:val="Normal"/>
    <w:next w:val="Normal"/>
    <w:autoRedefine/>
    <w:uiPriority w:val="39"/>
    <w:semiHidden/>
    <w:unhideWhenUsed/>
    <w:rsid w:val="006111A1"/>
    <w:pPr>
      <w:ind w:left="1320"/>
    </w:pPr>
    <w:rPr>
      <w:rFonts w:asciiTheme="minorHAnsi" w:hAnsiTheme="minorHAnsi" w:cstheme="minorHAnsi"/>
      <w:sz w:val="20"/>
      <w:szCs w:val="20"/>
    </w:rPr>
  </w:style>
  <w:style w:type="paragraph" w:styleId="Sumrio8">
    <w:name w:val="toc 8"/>
    <w:basedOn w:val="Normal"/>
    <w:next w:val="Normal"/>
    <w:autoRedefine/>
    <w:uiPriority w:val="39"/>
    <w:semiHidden/>
    <w:unhideWhenUsed/>
    <w:rsid w:val="006111A1"/>
    <w:pPr>
      <w:ind w:left="1540"/>
    </w:pPr>
    <w:rPr>
      <w:rFonts w:asciiTheme="minorHAnsi" w:hAnsiTheme="minorHAnsi" w:cstheme="minorHAnsi"/>
      <w:sz w:val="20"/>
      <w:szCs w:val="20"/>
    </w:rPr>
  </w:style>
  <w:style w:type="paragraph" w:styleId="Sumrio9">
    <w:name w:val="toc 9"/>
    <w:basedOn w:val="Normal"/>
    <w:next w:val="Normal"/>
    <w:autoRedefine/>
    <w:uiPriority w:val="39"/>
    <w:semiHidden/>
    <w:unhideWhenUsed/>
    <w:rsid w:val="006111A1"/>
    <w:pPr>
      <w:ind w:left="1760"/>
    </w:pPr>
    <w:rPr>
      <w:rFonts w:asciiTheme="minorHAnsi" w:hAnsiTheme="minorHAnsi" w:cstheme="minorHAnsi"/>
      <w:sz w:val="20"/>
      <w:szCs w:val="20"/>
    </w:rPr>
  </w:style>
  <w:style w:type="character" w:styleId="Refdecomentrio">
    <w:name w:val="annotation reference"/>
    <w:basedOn w:val="Fontepargpadro"/>
    <w:uiPriority w:val="99"/>
    <w:semiHidden/>
    <w:unhideWhenUsed/>
    <w:rsid w:val="00F34B38"/>
    <w:rPr>
      <w:sz w:val="16"/>
      <w:szCs w:val="16"/>
    </w:rPr>
  </w:style>
  <w:style w:type="paragraph" w:styleId="Textodecomentrio">
    <w:name w:val="annotation text"/>
    <w:basedOn w:val="Normal"/>
    <w:link w:val="TextodecomentrioChar"/>
    <w:uiPriority w:val="99"/>
    <w:semiHidden/>
    <w:unhideWhenUsed/>
    <w:rsid w:val="00F34B38"/>
    <w:rPr>
      <w:sz w:val="20"/>
      <w:szCs w:val="20"/>
    </w:rPr>
  </w:style>
  <w:style w:type="character" w:customStyle="1" w:styleId="TextodecomentrioChar">
    <w:name w:val="Texto de comentário Char"/>
    <w:basedOn w:val="Fontepargpadro"/>
    <w:link w:val="Textodecomentrio"/>
    <w:uiPriority w:val="99"/>
    <w:semiHidden/>
    <w:rsid w:val="00F34B38"/>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F34B38"/>
    <w:rPr>
      <w:b/>
      <w:bCs/>
    </w:rPr>
  </w:style>
  <w:style w:type="character" w:customStyle="1" w:styleId="AssuntodocomentrioChar">
    <w:name w:val="Assunto do comentário Char"/>
    <w:basedOn w:val="TextodecomentrioChar"/>
    <w:link w:val="Assuntodocomentrio"/>
    <w:uiPriority w:val="99"/>
    <w:semiHidden/>
    <w:rsid w:val="00F34B38"/>
    <w:rPr>
      <w:rFonts w:ascii="Arial MT" w:eastAsia="Arial MT" w:hAnsi="Arial MT" w:cs="Arial MT"/>
      <w:b/>
      <w:bCs/>
      <w:sz w:val="20"/>
      <w:szCs w:val="20"/>
      <w:lang w:val="pt-PT"/>
    </w:rPr>
  </w:style>
  <w:style w:type="paragraph" w:styleId="Textodebalo">
    <w:name w:val="Balloon Text"/>
    <w:basedOn w:val="Normal"/>
    <w:link w:val="TextodebaloChar"/>
    <w:uiPriority w:val="99"/>
    <w:semiHidden/>
    <w:unhideWhenUsed/>
    <w:rsid w:val="00CC1005"/>
    <w:rPr>
      <w:rFonts w:ascii="Segoe UI" w:hAnsi="Segoe UI" w:cs="Segoe UI"/>
      <w:sz w:val="18"/>
      <w:szCs w:val="18"/>
    </w:rPr>
  </w:style>
  <w:style w:type="character" w:customStyle="1" w:styleId="TextodebaloChar">
    <w:name w:val="Texto de balão Char"/>
    <w:basedOn w:val="Fontepargpadro"/>
    <w:link w:val="Textodebalo"/>
    <w:uiPriority w:val="99"/>
    <w:semiHidden/>
    <w:rsid w:val="00CC1005"/>
    <w:rPr>
      <w:rFonts w:ascii="Segoe UI" w:eastAsia="Arial MT" w:hAnsi="Segoe UI" w:cs="Segoe UI"/>
      <w:sz w:val="18"/>
      <w:szCs w:val="18"/>
      <w:lang w:val="pt-PT"/>
    </w:rPr>
  </w:style>
  <w:style w:type="paragraph" w:styleId="Reviso">
    <w:name w:val="Revision"/>
    <w:hidden/>
    <w:uiPriority w:val="99"/>
    <w:semiHidden/>
    <w:rsid w:val="008D03B3"/>
    <w:pPr>
      <w:widowControl/>
      <w:autoSpaceDE/>
      <w:autoSpaceDN/>
    </w:pPr>
    <w:rPr>
      <w:rFonts w:ascii="Arial MT" w:eastAsia="Arial MT" w:hAnsi="Arial MT" w:cs="Arial MT"/>
      <w:lang w:val="pt-PT"/>
    </w:rPr>
  </w:style>
  <w:style w:type="paragraph" w:customStyle="1" w:styleId="12">
    <w:name w:val="12"/>
    <w:basedOn w:val="Corpodetexto"/>
    <w:link w:val="12Char"/>
    <w:qFormat/>
    <w:rsid w:val="008D03B3"/>
    <w:pPr>
      <w:spacing w:line="360" w:lineRule="auto"/>
      <w:ind w:firstLine="709"/>
      <w:jc w:val="both"/>
    </w:pPr>
    <w:rPr>
      <w:rFonts w:ascii="Arial" w:hAnsi="Arial" w:cs="Arial"/>
    </w:rPr>
  </w:style>
  <w:style w:type="character" w:customStyle="1" w:styleId="CorpodetextoChar">
    <w:name w:val="Corpo de texto Char"/>
    <w:basedOn w:val="Fontepargpadro"/>
    <w:link w:val="Corpodetexto"/>
    <w:uiPriority w:val="1"/>
    <w:rsid w:val="008D03B3"/>
    <w:rPr>
      <w:rFonts w:ascii="Arial MT" w:eastAsia="Arial MT" w:hAnsi="Arial MT" w:cs="Arial MT"/>
      <w:sz w:val="24"/>
      <w:szCs w:val="24"/>
      <w:lang w:val="pt-PT"/>
    </w:rPr>
  </w:style>
  <w:style w:type="character" w:customStyle="1" w:styleId="12Char">
    <w:name w:val="12 Char"/>
    <w:basedOn w:val="CorpodetextoChar"/>
    <w:link w:val="12"/>
    <w:rsid w:val="008D03B3"/>
    <w:rPr>
      <w:rFonts w:ascii="Arial" w:eastAsia="Arial MT" w:hAnsi="Arial" w:cs="Arial"/>
      <w:sz w:val="24"/>
      <w:szCs w:val="24"/>
      <w:lang w:val="pt-PT"/>
    </w:rPr>
  </w:style>
  <w:style w:type="character" w:customStyle="1" w:styleId="MenoPendente1">
    <w:name w:val="Menção Pendente1"/>
    <w:basedOn w:val="Fontepargpadro"/>
    <w:uiPriority w:val="99"/>
    <w:semiHidden/>
    <w:unhideWhenUsed/>
    <w:rsid w:val="008F15A8"/>
    <w:rPr>
      <w:color w:val="605E5C"/>
      <w:shd w:val="clear" w:color="auto" w:fill="E1DFDD"/>
    </w:rPr>
  </w:style>
  <w:style w:type="character" w:styleId="Forte">
    <w:name w:val="Strong"/>
    <w:basedOn w:val="Fontepargpadro"/>
    <w:uiPriority w:val="22"/>
    <w:qFormat/>
    <w:rsid w:val="008A43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308">
      <w:bodyDiv w:val="1"/>
      <w:marLeft w:val="0"/>
      <w:marRight w:val="0"/>
      <w:marTop w:val="0"/>
      <w:marBottom w:val="0"/>
      <w:divBdr>
        <w:top w:val="none" w:sz="0" w:space="0" w:color="auto"/>
        <w:left w:val="none" w:sz="0" w:space="0" w:color="auto"/>
        <w:bottom w:val="none" w:sz="0" w:space="0" w:color="auto"/>
        <w:right w:val="none" w:sz="0" w:space="0" w:color="auto"/>
      </w:divBdr>
    </w:div>
    <w:div w:id="70667208">
      <w:bodyDiv w:val="1"/>
      <w:marLeft w:val="0"/>
      <w:marRight w:val="0"/>
      <w:marTop w:val="0"/>
      <w:marBottom w:val="0"/>
      <w:divBdr>
        <w:top w:val="none" w:sz="0" w:space="0" w:color="auto"/>
        <w:left w:val="none" w:sz="0" w:space="0" w:color="auto"/>
        <w:bottom w:val="none" w:sz="0" w:space="0" w:color="auto"/>
        <w:right w:val="none" w:sz="0" w:space="0" w:color="auto"/>
      </w:divBdr>
    </w:div>
    <w:div w:id="107822576">
      <w:bodyDiv w:val="1"/>
      <w:marLeft w:val="0"/>
      <w:marRight w:val="0"/>
      <w:marTop w:val="0"/>
      <w:marBottom w:val="0"/>
      <w:divBdr>
        <w:top w:val="none" w:sz="0" w:space="0" w:color="auto"/>
        <w:left w:val="none" w:sz="0" w:space="0" w:color="auto"/>
        <w:bottom w:val="none" w:sz="0" w:space="0" w:color="auto"/>
        <w:right w:val="none" w:sz="0" w:space="0" w:color="auto"/>
      </w:divBdr>
    </w:div>
    <w:div w:id="111631826">
      <w:bodyDiv w:val="1"/>
      <w:marLeft w:val="0"/>
      <w:marRight w:val="0"/>
      <w:marTop w:val="0"/>
      <w:marBottom w:val="0"/>
      <w:divBdr>
        <w:top w:val="none" w:sz="0" w:space="0" w:color="auto"/>
        <w:left w:val="none" w:sz="0" w:space="0" w:color="auto"/>
        <w:bottom w:val="none" w:sz="0" w:space="0" w:color="auto"/>
        <w:right w:val="none" w:sz="0" w:space="0" w:color="auto"/>
      </w:divBdr>
    </w:div>
    <w:div w:id="118228561">
      <w:bodyDiv w:val="1"/>
      <w:marLeft w:val="0"/>
      <w:marRight w:val="0"/>
      <w:marTop w:val="0"/>
      <w:marBottom w:val="0"/>
      <w:divBdr>
        <w:top w:val="none" w:sz="0" w:space="0" w:color="auto"/>
        <w:left w:val="none" w:sz="0" w:space="0" w:color="auto"/>
        <w:bottom w:val="none" w:sz="0" w:space="0" w:color="auto"/>
        <w:right w:val="none" w:sz="0" w:space="0" w:color="auto"/>
      </w:divBdr>
    </w:div>
    <w:div w:id="142083632">
      <w:bodyDiv w:val="1"/>
      <w:marLeft w:val="0"/>
      <w:marRight w:val="0"/>
      <w:marTop w:val="0"/>
      <w:marBottom w:val="0"/>
      <w:divBdr>
        <w:top w:val="none" w:sz="0" w:space="0" w:color="auto"/>
        <w:left w:val="none" w:sz="0" w:space="0" w:color="auto"/>
        <w:bottom w:val="none" w:sz="0" w:space="0" w:color="auto"/>
        <w:right w:val="none" w:sz="0" w:space="0" w:color="auto"/>
      </w:divBdr>
    </w:div>
    <w:div w:id="176503324">
      <w:bodyDiv w:val="1"/>
      <w:marLeft w:val="0"/>
      <w:marRight w:val="0"/>
      <w:marTop w:val="0"/>
      <w:marBottom w:val="0"/>
      <w:divBdr>
        <w:top w:val="none" w:sz="0" w:space="0" w:color="auto"/>
        <w:left w:val="none" w:sz="0" w:space="0" w:color="auto"/>
        <w:bottom w:val="none" w:sz="0" w:space="0" w:color="auto"/>
        <w:right w:val="none" w:sz="0" w:space="0" w:color="auto"/>
      </w:divBdr>
    </w:div>
    <w:div w:id="178207089">
      <w:bodyDiv w:val="1"/>
      <w:marLeft w:val="0"/>
      <w:marRight w:val="0"/>
      <w:marTop w:val="0"/>
      <w:marBottom w:val="0"/>
      <w:divBdr>
        <w:top w:val="none" w:sz="0" w:space="0" w:color="auto"/>
        <w:left w:val="none" w:sz="0" w:space="0" w:color="auto"/>
        <w:bottom w:val="none" w:sz="0" w:space="0" w:color="auto"/>
        <w:right w:val="none" w:sz="0" w:space="0" w:color="auto"/>
      </w:divBdr>
    </w:div>
    <w:div w:id="183173258">
      <w:bodyDiv w:val="1"/>
      <w:marLeft w:val="0"/>
      <w:marRight w:val="0"/>
      <w:marTop w:val="0"/>
      <w:marBottom w:val="0"/>
      <w:divBdr>
        <w:top w:val="none" w:sz="0" w:space="0" w:color="auto"/>
        <w:left w:val="none" w:sz="0" w:space="0" w:color="auto"/>
        <w:bottom w:val="none" w:sz="0" w:space="0" w:color="auto"/>
        <w:right w:val="none" w:sz="0" w:space="0" w:color="auto"/>
      </w:divBdr>
    </w:div>
    <w:div w:id="208692107">
      <w:bodyDiv w:val="1"/>
      <w:marLeft w:val="0"/>
      <w:marRight w:val="0"/>
      <w:marTop w:val="0"/>
      <w:marBottom w:val="0"/>
      <w:divBdr>
        <w:top w:val="none" w:sz="0" w:space="0" w:color="auto"/>
        <w:left w:val="none" w:sz="0" w:space="0" w:color="auto"/>
        <w:bottom w:val="none" w:sz="0" w:space="0" w:color="auto"/>
        <w:right w:val="none" w:sz="0" w:space="0" w:color="auto"/>
      </w:divBdr>
    </w:div>
    <w:div w:id="230389679">
      <w:bodyDiv w:val="1"/>
      <w:marLeft w:val="0"/>
      <w:marRight w:val="0"/>
      <w:marTop w:val="0"/>
      <w:marBottom w:val="0"/>
      <w:divBdr>
        <w:top w:val="none" w:sz="0" w:space="0" w:color="auto"/>
        <w:left w:val="none" w:sz="0" w:space="0" w:color="auto"/>
        <w:bottom w:val="none" w:sz="0" w:space="0" w:color="auto"/>
        <w:right w:val="none" w:sz="0" w:space="0" w:color="auto"/>
      </w:divBdr>
    </w:div>
    <w:div w:id="233513228">
      <w:bodyDiv w:val="1"/>
      <w:marLeft w:val="0"/>
      <w:marRight w:val="0"/>
      <w:marTop w:val="0"/>
      <w:marBottom w:val="0"/>
      <w:divBdr>
        <w:top w:val="none" w:sz="0" w:space="0" w:color="auto"/>
        <w:left w:val="none" w:sz="0" w:space="0" w:color="auto"/>
        <w:bottom w:val="none" w:sz="0" w:space="0" w:color="auto"/>
        <w:right w:val="none" w:sz="0" w:space="0" w:color="auto"/>
      </w:divBdr>
    </w:div>
    <w:div w:id="264195320">
      <w:bodyDiv w:val="1"/>
      <w:marLeft w:val="0"/>
      <w:marRight w:val="0"/>
      <w:marTop w:val="0"/>
      <w:marBottom w:val="0"/>
      <w:divBdr>
        <w:top w:val="none" w:sz="0" w:space="0" w:color="auto"/>
        <w:left w:val="none" w:sz="0" w:space="0" w:color="auto"/>
        <w:bottom w:val="none" w:sz="0" w:space="0" w:color="auto"/>
        <w:right w:val="none" w:sz="0" w:space="0" w:color="auto"/>
      </w:divBdr>
    </w:div>
    <w:div w:id="288630636">
      <w:bodyDiv w:val="1"/>
      <w:marLeft w:val="0"/>
      <w:marRight w:val="0"/>
      <w:marTop w:val="0"/>
      <w:marBottom w:val="0"/>
      <w:divBdr>
        <w:top w:val="none" w:sz="0" w:space="0" w:color="auto"/>
        <w:left w:val="none" w:sz="0" w:space="0" w:color="auto"/>
        <w:bottom w:val="none" w:sz="0" w:space="0" w:color="auto"/>
        <w:right w:val="none" w:sz="0" w:space="0" w:color="auto"/>
      </w:divBdr>
    </w:div>
    <w:div w:id="295717759">
      <w:bodyDiv w:val="1"/>
      <w:marLeft w:val="0"/>
      <w:marRight w:val="0"/>
      <w:marTop w:val="0"/>
      <w:marBottom w:val="0"/>
      <w:divBdr>
        <w:top w:val="none" w:sz="0" w:space="0" w:color="auto"/>
        <w:left w:val="none" w:sz="0" w:space="0" w:color="auto"/>
        <w:bottom w:val="none" w:sz="0" w:space="0" w:color="auto"/>
        <w:right w:val="none" w:sz="0" w:space="0" w:color="auto"/>
      </w:divBdr>
    </w:div>
    <w:div w:id="301152468">
      <w:bodyDiv w:val="1"/>
      <w:marLeft w:val="0"/>
      <w:marRight w:val="0"/>
      <w:marTop w:val="0"/>
      <w:marBottom w:val="0"/>
      <w:divBdr>
        <w:top w:val="none" w:sz="0" w:space="0" w:color="auto"/>
        <w:left w:val="none" w:sz="0" w:space="0" w:color="auto"/>
        <w:bottom w:val="none" w:sz="0" w:space="0" w:color="auto"/>
        <w:right w:val="none" w:sz="0" w:space="0" w:color="auto"/>
      </w:divBdr>
    </w:div>
    <w:div w:id="304822048">
      <w:bodyDiv w:val="1"/>
      <w:marLeft w:val="0"/>
      <w:marRight w:val="0"/>
      <w:marTop w:val="0"/>
      <w:marBottom w:val="0"/>
      <w:divBdr>
        <w:top w:val="none" w:sz="0" w:space="0" w:color="auto"/>
        <w:left w:val="none" w:sz="0" w:space="0" w:color="auto"/>
        <w:bottom w:val="none" w:sz="0" w:space="0" w:color="auto"/>
        <w:right w:val="none" w:sz="0" w:space="0" w:color="auto"/>
      </w:divBdr>
    </w:div>
    <w:div w:id="324820902">
      <w:bodyDiv w:val="1"/>
      <w:marLeft w:val="0"/>
      <w:marRight w:val="0"/>
      <w:marTop w:val="0"/>
      <w:marBottom w:val="0"/>
      <w:divBdr>
        <w:top w:val="none" w:sz="0" w:space="0" w:color="auto"/>
        <w:left w:val="none" w:sz="0" w:space="0" w:color="auto"/>
        <w:bottom w:val="none" w:sz="0" w:space="0" w:color="auto"/>
        <w:right w:val="none" w:sz="0" w:space="0" w:color="auto"/>
      </w:divBdr>
    </w:div>
    <w:div w:id="352463227">
      <w:bodyDiv w:val="1"/>
      <w:marLeft w:val="0"/>
      <w:marRight w:val="0"/>
      <w:marTop w:val="0"/>
      <w:marBottom w:val="0"/>
      <w:divBdr>
        <w:top w:val="none" w:sz="0" w:space="0" w:color="auto"/>
        <w:left w:val="none" w:sz="0" w:space="0" w:color="auto"/>
        <w:bottom w:val="none" w:sz="0" w:space="0" w:color="auto"/>
        <w:right w:val="none" w:sz="0" w:space="0" w:color="auto"/>
      </w:divBdr>
    </w:div>
    <w:div w:id="368339479">
      <w:bodyDiv w:val="1"/>
      <w:marLeft w:val="0"/>
      <w:marRight w:val="0"/>
      <w:marTop w:val="0"/>
      <w:marBottom w:val="0"/>
      <w:divBdr>
        <w:top w:val="none" w:sz="0" w:space="0" w:color="auto"/>
        <w:left w:val="none" w:sz="0" w:space="0" w:color="auto"/>
        <w:bottom w:val="none" w:sz="0" w:space="0" w:color="auto"/>
        <w:right w:val="none" w:sz="0" w:space="0" w:color="auto"/>
      </w:divBdr>
    </w:div>
    <w:div w:id="382563287">
      <w:bodyDiv w:val="1"/>
      <w:marLeft w:val="0"/>
      <w:marRight w:val="0"/>
      <w:marTop w:val="0"/>
      <w:marBottom w:val="0"/>
      <w:divBdr>
        <w:top w:val="none" w:sz="0" w:space="0" w:color="auto"/>
        <w:left w:val="none" w:sz="0" w:space="0" w:color="auto"/>
        <w:bottom w:val="none" w:sz="0" w:space="0" w:color="auto"/>
        <w:right w:val="none" w:sz="0" w:space="0" w:color="auto"/>
      </w:divBdr>
    </w:div>
    <w:div w:id="412357898">
      <w:bodyDiv w:val="1"/>
      <w:marLeft w:val="0"/>
      <w:marRight w:val="0"/>
      <w:marTop w:val="0"/>
      <w:marBottom w:val="0"/>
      <w:divBdr>
        <w:top w:val="none" w:sz="0" w:space="0" w:color="auto"/>
        <w:left w:val="none" w:sz="0" w:space="0" w:color="auto"/>
        <w:bottom w:val="none" w:sz="0" w:space="0" w:color="auto"/>
        <w:right w:val="none" w:sz="0" w:space="0" w:color="auto"/>
      </w:divBdr>
    </w:div>
    <w:div w:id="426967967">
      <w:bodyDiv w:val="1"/>
      <w:marLeft w:val="0"/>
      <w:marRight w:val="0"/>
      <w:marTop w:val="0"/>
      <w:marBottom w:val="0"/>
      <w:divBdr>
        <w:top w:val="none" w:sz="0" w:space="0" w:color="auto"/>
        <w:left w:val="none" w:sz="0" w:space="0" w:color="auto"/>
        <w:bottom w:val="none" w:sz="0" w:space="0" w:color="auto"/>
        <w:right w:val="none" w:sz="0" w:space="0" w:color="auto"/>
      </w:divBdr>
    </w:div>
    <w:div w:id="431975559">
      <w:bodyDiv w:val="1"/>
      <w:marLeft w:val="0"/>
      <w:marRight w:val="0"/>
      <w:marTop w:val="0"/>
      <w:marBottom w:val="0"/>
      <w:divBdr>
        <w:top w:val="none" w:sz="0" w:space="0" w:color="auto"/>
        <w:left w:val="none" w:sz="0" w:space="0" w:color="auto"/>
        <w:bottom w:val="none" w:sz="0" w:space="0" w:color="auto"/>
        <w:right w:val="none" w:sz="0" w:space="0" w:color="auto"/>
      </w:divBdr>
    </w:div>
    <w:div w:id="461927804">
      <w:bodyDiv w:val="1"/>
      <w:marLeft w:val="0"/>
      <w:marRight w:val="0"/>
      <w:marTop w:val="0"/>
      <w:marBottom w:val="0"/>
      <w:divBdr>
        <w:top w:val="none" w:sz="0" w:space="0" w:color="auto"/>
        <w:left w:val="none" w:sz="0" w:space="0" w:color="auto"/>
        <w:bottom w:val="none" w:sz="0" w:space="0" w:color="auto"/>
        <w:right w:val="none" w:sz="0" w:space="0" w:color="auto"/>
      </w:divBdr>
    </w:div>
    <w:div w:id="508179600">
      <w:bodyDiv w:val="1"/>
      <w:marLeft w:val="0"/>
      <w:marRight w:val="0"/>
      <w:marTop w:val="0"/>
      <w:marBottom w:val="0"/>
      <w:divBdr>
        <w:top w:val="none" w:sz="0" w:space="0" w:color="auto"/>
        <w:left w:val="none" w:sz="0" w:space="0" w:color="auto"/>
        <w:bottom w:val="none" w:sz="0" w:space="0" w:color="auto"/>
        <w:right w:val="none" w:sz="0" w:space="0" w:color="auto"/>
      </w:divBdr>
    </w:div>
    <w:div w:id="521553216">
      <w:bodyDiv w:val="1"/>
      <w:marLeft w:val="0"/>
      <w:marRight w:val="0"/>
      <w:marTop w:val="0"/>
      <w:marBottom w:val="0"/>
      <w:divBdr>
        <w:top w:val="none" w:sz="0" w:space="0" w:color="auto"/>
        <w:left w:val="none" w:sz="0" w:space="0" w:color="auto"/>
        <w:bottom w:val="none" w:sz="0" w:space="0" w:color="auto"/>
        <w:right w:val="none" w:sz="0" w:space="0" w:color="auto"/>
      </w:divBdr>
    </w:div>
    <w:div w:id="522522483">
      <w:bodyDiv w:val="1"/>
      <w:marLeft w:val="0"/>
      <w:marRight w:val="0"/>
      <w:marTop w:val="0"/>
      <w:marBottom w:val="0"/>
      <w:divBdr>
        <w:top w:val="none" w:sz="0" w:space="0" w:color="auto"/>
        <w:left w:val="none" w:sz="0" w:space="0" w:color="auto"/>
        <w:bottom w:val="none" w:sz="0" w:space="0" w:color="auto"/>
        <w:right w:val="none" w:sz="0" w:space="0" w:color="auto"/>
      </w:divBdr>
    </w:div>
    <w:div w:id="574318847">
      <w:bodyDiv w:val="1"/>
      <w:marLeft w:val="0"/>
      <w:marRight w:val="0"/>
      <w:marTop w:val="0"/>
      <w:marBottom w:val="0"/>
      <w:divBdr>
        <w:top w:val="none" w:sz="0" w:space="0" w:color="auto"/>
        <w:left w:val="none" w:sz="0" w:space="0" w:color="auto"/>
        <w:bottom w:val="none" w:sz="0" w:space="0" w:color="auto"/>
        <w:right w:val="none" w:sz="0" w:space="0" w:color="auto"/>
      </w:divBdr>
    </w:div>
    <w:div w:id="582226502">
      <w:bodyDiv w:val="1"/>
      <w:marLeft w:val="0"/>
      <w:marRight w:val="0"/>
      <w:marTop w:val="0"/>
      <w:marBottom w:val="0"/>
      <w:divBdr>
        <w:top w:val="none" w:sz="0" w:space="0" w:color="auto"/>
        <w:left w:val="none" w:sz="0" w:space="0" w:color="auto"/>
        <w:bottom w:val="none" w:sz="0" w:space="0" w:color="auto"/>
        <w:right w:val="none" w:sz="0" w:space="0" w:color="auto"/>
      </w:divBdr>
    </w:div>
    <w:div w:id="597786311">
      <w:bodyDiv w:val="1"/>
      <w:marLeft w:val="0"/>
      <w:marRight w:val="0"/>
      <w:marTop w:val="0"/>
      <w:marBottom w:val="0"/>
      <w:divBdr>
        <w:top w:val="none" w:sz="0" w:space="0" w:color="auto"/>
        <w:left w:val="none" w:sz="0" w:space="0" w:color="auto"/>
        <w:bottom w:val="none" w:sz="0" w:space="0" w:color="auto"/>
        <w:right w:val="none" w:sz="0" w:space="0" w:color="auto"/>
      </w:divBdr>
    </w:div>
    <w:div w:id="619413227">
      <w:bodyDiv w:val="1"/>
      <w:marLeft w:val="0"/>
      <w:marRight w:val="0"/>
      <w:marTop w:val="0"/>
      <w:marBottom w:val="0"/>
      <w:divBdr>
        <w:top w:val="none" w:sz="0" w:space="0" w:color="auto"/>
        <w:left w:val="none" w:sz="0" w:space="0" w:color="auto"/>
        <w:bottom w:val="none" w:sz="0" w:space="0" w:color="auto"/>
        <w:right w:val="none" w:sz="0" w:space="0" w:color="auto"/>
      </w:divBdr>
    </w:div>
    <w:div w:id="652101200">
      <w:bodyDiv w:val="1"/>
      <w:marLeft w:val="0"/>
      <w:marRight w:val="0"/>
      <w:marTop w:val="0"/>
      <w:marBottom w:val="0"/>
      <w:divBdr>
        <w:top w:val="none" w:sz="0" w:space="0" w:color="auto"/>
        <w:left w:val="none" w:sz="0" w:space="0" w:color="auto"/>
        <w:bottom w:val="none" w:sz="0" w:space="0" w:color="auto"/>
        <w:right w:val="none" w:sz="0" w:space="0" w:color="auto"/>
      </w:divBdr>
    </w:div>
    <w:div w:id="661659745">
      <w:bodyDiv w:val="1"/>
      <w:marLeft w:val="0"/>
      <w:marRight w:val="0"/>
      <w:marTop w:val="0"/>
      <w:marBottom w:val="0"/>
      <w:divBdr>
        <w:top w:val="none" w:sz="0" w:space="0" w:color="auto"/>
        <w:left w:val="none" w:sz="0" w:space="0" w:color="auto"/>
        <w:bottom w:val="none" w:sz="0" w:space="0" w:color="auto"/>
        <w:right w:val="none" w:sz="0" w:space="0" w:color="auto"/>
      </w:divBdr>
    </w:div>
    <w:div w:id="665667121">
      <w:bodyDiv w:val="1"/>
      <w:marLeft w:val="0"/>
      <w:marRight w:val="0"/>
      <w:marTop w:val="0"/>
      <w:marBottom w:val="0"/>
      <w:divBdr>
        <w:top w:val="none" w:sz="0" w:space="0" w:color="auto"/>
        <w:left w:val="none" w:sz="0" w:space="0" w:color="auto"/>
        <w:bottom w:val="none" w:sz="0" w:space="0" w:color="auto"/>
        <w:right w:val="none" w:sz="0" w:space="0" w:color="auto"/>
      </w:divBdr>
    </w:div>
    <w:div w:id="680012825">
      <w:bodyDiv w:val="1"/>
      <w:marLeft w:val="0"/>
      <w:marRight w:val="0"/>
      <w:marTop w:val="0"/>
      <w:marBottom w:val="0"/>
      <w:divBdr>
        <w:top w:val="none" w:sz="0" w:space="0" w:color="auto"/>
        <w:left w:val="none" w:sz="0" w:space="0" w:color="auto"/>
        <w:bottom w:val="none" w:sz="0" w:space="0" w:color="auto"/>
        <w:right w:val="none" w:sz="0" w:space="0" w:color="auto"/>
      </w:divBdr>
    </w:div>
    <w:div w:id="743600984">
      <w:bodyDiv w:val="1"/>
      <w:marLeft w:val="0"/>
      <w:marRight w:val="0"/>
      <w:marTop w:val="0"/>
      <w:marBottom w:val="0"/>
      <w:divBdr>
        <w:top w:val="none" w:sz="0" w:space="0" w:color="auto"/>
        <w:left w:val="none" w:sz="0" w:space="0" w:color="auto"/>
        <w:bottom w:val="none" w:sz="0" w:space="0" w:color="auto"/>
        <w:right w:val="none" w:sz="0" w:space="0" w:color="auto"/>
      </w:divBdr>
    </w:div>
    <w:div w:id="745492270">
      <w:bodyDiv w:val="1"/>
      <w:marLeft w:val="0"/>
      <w:marRight w:val="0"/>
      <w:marTop w:val="0"/>
      <w:marBottom w:val="0"/>
      <w:divBdr>
        <w:top w:val="none" w:sz="0" w:space="0" w:color="auto"/>
        <w:left w:val="none" w:sz="0" w:space="0" w:color="auto"/>
        <w:bottom w:val="none" w:sz="0" w:space="0" w:color="auto"/>
        <w:right w:val="none" w:sz="0" w:space="0" w:color="auto"/>
      </w:divBdr>
    </w:div>
    <w:div w:id="776829122">
      <w:bodyDiv w:val="1"/>
      <w:marLeft w:val="0"/>
      <w:marRight w:val="0"/>
      <w:marTop w:val="0"/>
      <w:marBottom w:val="0"/>
      <w:divBdr>
        <w:top w:val="none" w:sz="0" w:space="0" w:color="auto"/>
        <w:left w:val="none" w:sz="0" w:space="0" w:color="auto"/>
        <w:bottom w:val="none" w:sz="0" w:space="0" w:color="auto"/>
        <w:right w:val="none" w:sz="0" w:space="0" w:color="auto"/>
      </w:divBdr>
    </w:div>
    <w:div w:id="840048596">
      <w:bodyDiv w:val="1"/>
      <w:marLeft w:val="0"/>
      <w:marRight w:val="0"/>
      <w:marTop w:val="0"/>
      <w:marBottom w:val="0"/>
      <w:divBdr>
        <w:top w:val="none" w:sz="0" w:space="0" w:color="auto"/>
        <w:left w:val="none" w:sz="0" w:space="0" w:color="auto"/>
        <w:bottom w:val="none" w:sz="0" w:space="0" w:color="auto"/>
        <w:right w:val="none" w:sz="0" w:space="0" w:color="auto"/>
      </w:divBdr>
    </w:div>
    <w:div w:id="864909204">
      <w:bodyDiv w:val="1"/>
      <w:marLeft w:val="0"/>
      <w:marRight w:val="0"/>
      <w:marTop w:val="0"/>
      <w:marBottom w:val="0"/>
      <w:divBdr>
        <w:top w:val="none" w:sz="0" w:space="0" w:color="auto"/>
        <w:left w:val="none" w:sz="0" w:space="0" w:color="auto"/>
        <w:bottom w:val="none" w:sz="0" w:space="0" w:color="auto"/>
        <w:right w:val="none" w:sz="0" w:space="0" w:color="auto"/>
      </w:divBdr>
    </w:div>
    <w:div w:id="886721925">
      <w:bodyDiv w:val="1"/>
      <w:marLeft w:val="0"/>
      <w:marRight w:val="0"/>
      <w:marTop w:val="0"/>
      <w:marBottom w:val="0"/>
      <w:divBdr>
        <w:top w:val="none" w:sz="0" w:space="0" w:color="auto"/>
        <w:left w:val="none" w:sz="0" w:space="0" w:color="auto"/>
        <w:bottom w:val="none" w:sz="0" w:space="0" w:color="auto"/>
        <w:right w:val="none" w:sz="0" w:space="0" w:color="auto"/>
      </w:divBdr>
    </w:div>
    <w:div w:id="934484591">
      <w:bodyDiv w:val="1"/>
      <w:marLeft w:val="0"/>
      <w:marRight w:val="0"/>
      <w:marTop w:val="0"/>
      <w:marBottom w:val="0"/>
      <w:divBdr>
        <w:top w:val="none" w:sz="0" w:space="0" w:color="auto"/>
        <w:left w:val="none" w:sz="0" w:space="0" w:color="auto"/>
        <w:bottom w:val="none" w:sz="0" w:space="0" w:color="auto"/>
        <w:right w:val="none" w:sz="0" w:space="0" w:color="auto"/>
      </w:divBdr>
    </w:div>
    <w:div w:id="946621729">
      <w:bodyDiv w:val="1"/>
      <w:marLeft w:val="0"/>
      <w:marRight w:val="0"/>
      <w:marTop w:val="0"/>
      <w:marBottom w:val="0"/>
      <w:divBdr>
        <w:top w:val="none" w:sz="0" w:space="0" w:color="auto"/>
        <w:left w:val="none" w:sz="0" w:space="0" w:color="auto"/>
        <w:bottom w:val="none" w:sz="0" w:space="0" w:color="auto"/>
        <w:right w:val="none" w:sz="0" w:space="0" w:color="auto"/>
      </w:divBdr>
    </w:div>
    <w:div w:id="1037589062">
      <w:bodyDiv w:val="1"/>
      <w:marLeft w:val="0"/>
      <w:marRight w:val="0"/>
      <w:marTop w:val="0"/>
      <w:marBottom w:val="0"/>
      <w:divBdr>
        <w:top w:val="none" w:sz="0" w:space="0" w:color="auto"/>
        <w:left w:val="none" w:sz="0" w:space="0" w:color="auto"/>
        <w:bottom w:val="none" w:sz="0" w:space="0" w:color="auto"/>
        <w:right w:val="none" w:sz="0" w:space="0" w:color="auto"/>
      </w:divBdr>
    </w:div>
    <w:div w:id="1098059333">
      <w:bodyDiv w:val="1"/>
      <w:marLeft w:val="0"/>
      <w:marRight w:val="0"/>
      <w:marTop w:val="0"/>
      <w:marBottom w:val="0"/>
      <w:divBdr>
        <w:top w:val="none" w:sz="0" w:space="0" w:color="auto"/>
        <w:left w:val="none" w:sz="0" w:space="0" w:color="auto"/>
        <w:bottom w:val="none" w:sz="0" w:space="0" w:color="auto"/>
        <w:right w:val="none" w:sz="0" w:space="0" w:color="auto"/>
      </w:divBdr>
    </w:div>
    <w:div w:id="1100102179">
      <w:bodyDiv w:val="1"/>
      <w:marLeft w:val="0"/>
      <w:marRight w:val="0"/>
      <w:marTop w:val="0"/>
      <w:marBottom w:val="0"/>
      <w:divBdr>
        <w:top w:val="none" w:sz="0" w:space="0" w:color="auto"/>
        <w:left w:val="none" w:sz="0" w:space="0" w:color="auto"/>
        <w:bottom w:val="none" w:sz="0" w:space="0" w:color="auto"/>
        <w:right w:val="none" w:sz="0" w:space="0" w:color="auto"/>
      </w:divBdr>
    </w:div>
    <w:div w:id="1133208879">
      <w:bodyDiv w:val="1"/>
      <w:marLeft w:val="0"/>
      <w:marRight w:val="0"/>
      <w:marTop w:val="0"/>
      <w:marBottom w:val="0"/>
      <w:divBdr>
        <w:top w:val="none" w:sz="0" w:space="0" w:color="auto"/>
        <w:left w:val="none" w:sz="0" w:space="0" w:color="auto"/>
        <w:bottom w:val="none" w:sz="0" w:space="0" w:color="auto"/>
        <w:right w:val="none" w:sz="0" w:space="0" w:color="auto"/>
      </w:divBdr>
    </w:div>
    <w:div w:id="1139491117">
      <w:bodyDiv w:val="1"/>
      <w:marLeft w:val="0"/>
      <w:marRight w:val="0"/>
      <w:marTop w:val="0"/>
      <w:marBottom w:val="0"/>
      <w:divBdr>
        <w:top w:val="none" w:sz="0" w:space="0" w:color="auto"/>
        <w:left w:val="none" w:sz="0" w:space="0" w:color="auto"/>
        <w:bottom w:val="none" w:sz="0" w:space="0" w:color="auto"/>
        <w:right w:val="none" w:sz="0" w:space="0" w:color="auto"/>
      </w:divBdr>
    </w:div>
    <w:div w:id="1177769599">
      <w:bodyDiv w:val="1"/>
      <w:marLeft w:val="0"/>
      <w:marRight w:val="0"/>
      <w:marTop w:val="0"/>
      <w:marBottom w:val="0"/>
      <w:divBdr>
        <w:top w:val="none" w:sz="0" w:space="0" w:color="auto"/>
        <w:left w:val="none" w:sz="0" w:space="0" w:color="auto"/>
        <w:bottom w:val="none" w:sz="0" w:space="0" w:color="auto"/>
        <w:right w:val="none" w:sz="0" w:space="0" w:color="auto"/>
      </w:divBdr>
    </w:div>
    <w:div w:id="1220097357">
      <w:bodyDiv w:val="1"/>
      <w:marLeft w:val="0"/>
      <w:marRight w:val="0"/>
      <w:marTop w:val="0"/>
      <w:marBottom w:val="0"/>
      <w:divBdr>
        <w:top w:val="none" w:sz="0" w:space="0" w:color="auto"/>
        <w:left w:val="none" w:sz="0" w:space="0" w:color="auto"/>
        <w:bottom w:val="none" w:sz="0" w:space="0" w:color="auto"/>
        <w:right w:val="none" w:sz="0" w:space="0" w:color="auto"/>
      </w:divBdr>
    </w:div>
    <w:div w:id="1224486122">
      <w:bodyDiv w:val="1"/>
      <w:marLeft w:val="0"/>
      <w:marRight w:val="0"/>
      <w:marTop w:val="0"/>
      <w:marBottom w:val="0"/>
      <w:divBdr>
        <w:top w:val="none" w:sz="0" w:space="0" w:color="auto"/>
        <w:left w:val="none" w:sz="0" w:space="0" w:color="auto"/>
        <w:bottom w:val="none" w:sz="0" w:space="0" w:color="auto"/>
        <w:right w:val="none" w:sz="0" w:space="0" w:color="auto"/>
      </w:divBdr>
    </w:div>
    <w:div w:id="1279026357">
      <w:bodyDiv w:val="1"/>
      <w:marLeft w:val="0"/>
      <w:marRight w:val="0"/>
      <w:marTop w:val="0"/>
      <w:marBottom w:val="0"/>
      <w:divBdr>
        <w:top w:val="none" w:sz="0" w:space="0" w:color="auto"/>
        <w:left w:val="none" w:sz="0" w:space="0" w:color="auto"/>
        <w:bottom w:val="none" w:sz="0" w:space="0" w:color="auto"/>
        <w:right w:val="none" w:sz="0" w:space="0" w:color="auto"/>
      </w:divBdr>
    </w:div>
    <w:div w:id="1285231189">
      <w:bodyDiv w:val="1"/>
      <w:marLeft w:val="0"/>
      <w:marRight w:val="0"/>
      <w:marTop w:val="0"/>
      <w:marBottom w:val="0"/>
      <w:divBdr>
        <w:top w:val="none" w:sz="0" w:space="0" w:color="auto"/>
        <w:left w:val="none" w:sz="0" w:space="0" w:color="auto"/>
        <w:bottom w:val="none" w:sz="0" w:space="0" w:color="auto"/>
        <w:right w:val="none" w:sz="0" w:space="0" w:color="auto"/>
      </w:divBdr>
    </w:div>
    <w:div w:id="1317219002">
      <w:bodyDiv w:val="1"/>
      <w:marLeft w:val="0"/>
      <w:marRight w:val="0"/>
      <w:marTop w:val="0"/>
      <w:marBottom w:val="0"/>
      <w:divBdr>
        <w:top w:val="none" w:sz="0" w:space="0" w:color="auto"/>
        <w:left w:val="none" w:sz="0" w:space="0" w:color="auto"/>
        <w:bottom w:val="none" w:sz="0" w:space="0" w:color="auto"/>
        <w:right w:val="none" w:sz="0" w:space="0" w:color="auto"/>
      </w:divBdr>
    </w:div>
    <w:div w:id="1345664091">
      <w:bodyDiv w:val="1"/>
      <w:marLeft w:val="0"/>
      <w:marRight w:val="0"/>
      <w:marTop w:val="0"/>
      <w:marBottom w:val="0"/>
      <w:divBdr>
        <w:top w:val="none" w:sz="0" w:space="0" w:color="auto"/>
        <w:left w:val="none" w:sz="0" w:space="0" w:color="auto"/>
        <w:bottom w:val="none" w:sz="0" w:space="0" w:color="auto"/>
        <w:right w:val="none" w:sz="0" w:space="0" w:color="auto"/>
      </w:divBdr>
    </w:div>
    <w:div w:id="1358459665">
      <w:bodyDiv w:val="1"/>
      <w:marLeft w:val="0"/>
      <w:marRight w:val="0"/>
      <w:marTop w:val="0"/>
      <w:marBottom w:val="0"/>
      <w:divBdr>
        <w:top w:val="none" w:sz="0" w:space="0" w:color="auto"/>
        <w:left w:val="none" w:sz="0" w:space="0" w:color="auto"/>
        <w:bottom w:val="none" w:sz="0" w:space="0" w:color="auto"/>
        <w:right w:val="none" w:sz="0" w:space="0" w:color="auto"/>
      </w:divBdr>
    </w:div>
    <w:div w:id="1377730479">
      <w:bodyDiv w:val="1"/>
      <w:marLeft w:val="0"/>
      <w:marRight w:val="0"/>
      <w:marTop w:val="0"/>
      <w:marBottom w:val="0"/>
      <w:divBdr>
        <w:top w:val="none" w:sz="0" w:space="0" w:color="auto"/>
        <w:left w:val="none" w:sz="0" w:space="0" w:color="auto"/>
        <w:bottom w:val="none" w:sz="0" w:space="0" w:color="auto"/>
        <w:right w:val="none" w:sz="0" w:space="0" w:color="auto"/>
      </w:divBdr>
    </w:div>
    <w:div w:id="1386299838">
      <w:bodyDiv w:val="1"/>
      <w:marLeft w:val="0"/>
      <w:marRight w:val="0"/>
      <w:marTop w:val="0"/>
      <w:marBottom w:val="0"/>
      <w:divBdr>
        <w:top w:val="none" w:sz="0" w:space="0" w:color="auto"/>
        <w:left w:val="none" w:sz="0" w:space="0" w:color="auto"/>
        <w:bottom w:val="none" w:sz="0" w:space="0" w:color="auto"/>
        <w:right w:val="none" w:sz="0" w:space="0" w:color="auto"/>
      </w:divBdr>
    </w:div>
    <w:div w:id="1396779816">
      <w:bodyDiv w:val="1"/>
      <w:marLeft w:val="0"/>
      <w:marRight w:val="0"/>
      <w:marTop w:val="0"/>
      <w:marBottom w:val="0"/>
      <w:divBdr>
        <w:top w:val="none" w:sz="0" w:space="0" w:color="auto"/>
        <w:left w:val="none" w:sz="0" w:space="0" w:color="auto"/>
        <w:bottom w:val="none" w:sz="0" w:space="0" w:color="auto"/>
        <w:right w:val="none" w:sz="0" w:space="0" w:color="auto"/>
      </w:divBdr>
    </w:div>
    <w:div w:id="1403528007">
      <w:bodyDiv w:val="1"/>
      <w:marLeft w:val="0"/>
      <w:marRight w:val="0"/>
      <w:marTop w:val="0"/>
      <w:marBottom w:val="0"/>
      <w:divBdr>
        <w:top w:val="none" w:sz="0" w:space="0" w:color="auto"/>
        <w:left w:val="none" w:sz="0" w:space="0" w:color="auto"/>
        <w:bottom w:val="none" w:sz="0" w:space="0" w:color="auto"/>
        <w:right w:val="none" w:sz="0" w:space="0" w:color="auto"/>
      </w:divBdr>
    </w:div>
    <w:div w:id="1422724323">
      <w:bodyDiv w:val="1"/>
      <w:marLeft w:val="0"/>
      <w:marRight w:val="0"/>
      <w:marTop w:val="0"/>
      <w:marBottom w:val="0"/>
      <w:divBdr>
        <w:top w:val="none" w:sz="0" w:space="0" w:color="auto"/>
        <w:left w:val="none" w:sz="0" w:space="0" w:color="auto"/>
        <w:bottom w:val="none" w:sz="0" w:space="0" w:color="auto"/>
        <w:right w:val="none" w:sz="0" w:space="0" w:color="auto"/>
      </w:divBdr>
    </w:div>
    <w:div w:id="1425611500">
      <w:bodyDiv w:val="1"/>
      <w:marLeft w:val="0"/>
      <w:marRight w:val="0"/>
      <w:marTop w:val="0"/>
      <w:marBottom w:val="0"/>
      <w:divBdr>
        <w:top w:val="none" w:sz="0" w:space="0" w:color="auto"/>
        <w:left w:val="none" w:sz="0" w:space="0" w:color="auto"/>
        <w:bottom w:val="none" w:sz="0" w:space="0" w:color="auto"/>
        <w:right w:val="none" w:sz="0" w:space="0" w:color="auto"/>
      </w:divBdr>
    </w:div>
    <w:div w:id="1466772815">
      <w:bodyDiv w:val="1"/>
      <w:marLeft w:val="0"/>
      <w:marRight w:val="0"/>
      <w:marTop w:val="0"/>
      <w:marBottom w:val="0"/>
      <w:divBdr>
        <w:top w:val="none" w:sz="0" w:space="0" w:color="auto"/>
        <w:left w:val="none" w:sz="0" w:space="0" w:color="auto"/>
        <w:bottom w:val="none" w:sz="0" w:space="0" w:color="auto"/>
        <w:right w:val="none" w:sz="0" w:space="0" w:color="auto"/>
      </w:divBdr>
    </w:div>
    <w:div w:id="1479423604">
      <w:bodyDiv w:val="1"/>
      <w:marLeft w:val="0"/>
      <w:marRight w:val="0"/>
      <w:marTop w:val="0"/>
      <w:marBottom w:val="0"/>
      <w:divBdr>
        <w:top w:val="none" w:sz="0" w:space="0" w:color="auto"/>
        <w:left w:val="none" w:sz="0" w:space="0" w:color="auto"/>
        <w:bottom w:val="none" w:sz="0" w:space="0" w:color="auto"/>
        <w:right w:val="none" w:sz="0" w:space="0" w:color="auto"/>
      </w:divBdr>
    </w:div>
    <w:div w:id="1482845823">
      <w:bodyDiv w:val="1"/>
      <w:marLeft w:val="0"/>
      <w:marRight w:val="0"/>
      <w:marTop w:val="0"/>
      <w:marBottom w:val="0"/>
      <w:divBdr>
        <w:top w:val="none" w:sz="0" w:space="0" w:color="auto"/>
        <w:left w:val="none" w:sz="0" w:space="0" w:color="auto"/>
        <w:bottom w:val="none" w:sz="0" w:space="0" w:color="auto"/>
        <w:right w:val="none" w:sz="0" w:space="0" w:color="auto"/>
      </w:divBdr>
    </w:div>
    <w:div w:id="1486582901">
      <w:bodyDiv w:val="1"/>
      <w:marLeft w:val="0"/>
      <w:marRight w:val="0"/>
      <w:marTop w:val="0"/>
      <w:marBottom w:val="0"/>
      <w:divBdr>
        <w:top w:val="none" w:sz="0" w:space="0" w:color="auto"/>
        <w:left w:val="none" w:sz="0" w:space="0" w:color="auto"/>
        <w:bottom w:val="none" w:sz="0" w:space="0" w:color="auto"/>
        <w:right w:val="none" w:sz="0" w:space="0" w:color="auto"/>
      </w:divBdr>
    </w:div>
    <w:div w:id="1497726040">
      <w:bodyDiv w:val="1"/>
      <w:marLeft w:val="0"/>
      <w:marRight w:val="0"/>
      <w:marTop w:val="0"/>
      <w:marBottom w:val="0"/>
      <w:divBdr>
        <w:top w:val="none" w:sz="0" w:space="0" w:color="auto"/>
        <w:left w:val="none" w:sz="0" w:space="0" w:color="auto"/>
        <w:bottom w:val="none" w:sz="0" w:space="0" w:color="auto"/>
        <w:right w:val="none" w:sz="0" w:space="0" w:color="auto"/>
      </w:divBdr>
    </w:div>
    <w:div w:id="1509179532">
      <w:bodyDiv w:val="1"/>
      <w:marLeft w:val="0"/>
      <w:marRight w:val="0"/>
      <w:marTop w:val="0"/>
      <w:marBottom w:val="0"/>
      <w:divBdr>
        <w:top w:val="none" w:sz="0" w:space="0" w:color="auto"/>
        <w:left w:val="none" w:sz="0" w:space="0" w:color="auto"/>
        <w:bottom w:val="none" w:sz="0" w:space="0" w:color="auto"/>
        <w:right w:val="none" w:sz="0" w:space="0" w:color="auto"/>
      </w:divBdr>
    </w:div>
    <w:div w:id="1542016295">
      <w:bodyDiv w:val="1"/>
      <w:marLeft w:val="0"/>
      <w:marRight w:val="0"/>
      <w:marTop w:val="0"/>
      <w:marBottom w:val="0"/>
      <w:divBdr>
        <w:top w:val="none" w:sz="0" w:space="0" w:color="auto"/>
        <w:left w:val="none" w:sz="0" w:space="0" w:color="auto"/>
        <w:bottom w:val="none" w:sz="0" w:space="0" w:color="auto"/>
        <w:right w:val="none" w:sz="0" w:space="0" w:color="auto"/>
      </w:divBdr>
    </w:div>
    <w:div w:id="1588028942">
      <w:bodyDiv w:val="1"/>
      <w:marLeft w:val="0"/>
      <w:marRight w:val="0"/>
      <w:marTop w:val="0"/>
      <w:marBottom w:val="0"/>
      <w:divBdr>
        <w:top w:val="none" w:sz="0" w:space="0" w:color="auto"/>
        <w:left w:val="none" w:sz="0" w:space="0" w:color="auto"/>
        <w:bottom w:val="none" w:sz="0" w:space="0" w:color="auto"/>
        <w:right w:val="none" w:sz="0" w:space="0" w:color="auto"/>
      </w:divBdr>
    </w:div>
    <w:div w:id="1589344495">
      <w:bodyDiv w:val="1"/>
      <w:marLeft w:val="0"/>
      <w:marRight w:val="0"/>
      <w:marTop w:val="0"/>
      <w:marBottom w:val="0"/>
      <w:divBdr>
        <w:top w:val="none" w:sz="0" w:space="0" w:color="auto"/>
        <w:left w:val="none" w:sz="0" w:space="0" w:color="auto"/>
        <w:bottom w:val="none" w:sz="0" w:space="0" w:color="auto"/>
        <w:right w:val="none" w:sz="0" w:space="0" w:color="auto"/>
      </w:divBdr>
    </w:div>
    <w:div w:id="1589995482">
      <w:bodyDiv w:val="1"/>
      <w:marLeft w:val="0"/>
      <w:marRight w:val="0"/>
      <w:marTop w:val="0"/>
      <w:marBottom w:val="0"/>
      <w:divBdr>
        <w:top w:val="none" w:sz="0" w:space="0" w:color="auto"/>
        <w:left w:val="none" w:sz="0" w:space="0" w:color="auto"/>
        <w:bottom w:val="none" w:sz="0" w:space="0" w:color="auto"/>
        <w:right w:val="none" w:sz="0" w:space="0" w:color="auto"/>
      </w:divBdr>
    </w:div>
    <w:div w:id="1599945193">
      <w:bodyDiv w:val="1"/>
      <w:marLeft w:val="0"/>
      <w:marRight w:val="0"/>
      <w:marTop w:val="0"/>
      <w:marBottom w:val="0"/>
      <w:divBdr>
        <w:top w:val="none" w:sz="0" w:space="0" w:color="auto"/>
        <w:left w:val="none" w:sz="0" w:space="0" w:color="auto"/>
        <w:bottom w:val="none" w:sz="0" w:space="0" w:color="auto"/>
        <w:right w:val="none" w:sz="0" w:space="0" w:color="auto"/>
      </w:divBdr>
    </w:div>
    <w:div w:id="1626808208">
      <w:bodyDiv w:val="1"/>
      <w:marLeft w:val="0"/>
      <w:marRight w:val="0"/>
      <w:marTop w:val="0"/>
      <w:marBottom w:val="0"/>
      <w:divBdr>
        <w:top w:val="none" w:sz="0" w:space="0" w:color="auto"/>
        <w:left w:val="none" w:sz="0" w:space="0" w:color="auto"/>
        <w:bottom w:val="none" w:sz="0" w:space="0" w:color="auto"/>
        <w:right w:val="none" w:sz="0" w:space="0" w:color="auto"/>
      </w:divBdr>
    </w:div>
    <w:div w:id="1657564277">
      <w:bodyDiv w:val="1"/>
      <w:marLeft w:val="0"/>
      <w:marRight w:val="0"/>
      <w:marTop w:val="0"/>
      <w:marBottom w:val="0"/>
      <w:divBdr>
        <w:top w:val="none" w:sz="0" w:space="0" w:color="auto"/>
        <w:left w:val="none" w:sz="0" w:space="0" w:color="auto"/>
        <w:bottom w:val="none" w:sz="0" w:space="0" w:color="auto"/>
        <w:right w:val="none" w:sz="0" w:space="0" w:color="auto"/>
      </w:divBdr>
    </w:div>
    <w:div w:id="1671062804">
      <w:bodyDiv w:val="1"/>
      <w:marLeft w:val="0"/>
      <w:marRight w:val="0"/>
      <w:marTop w:val="0"/>
      <w:marBottom w:val="0"/>
      <w:divBdr>
        <w:top w:val="none" w:sz="0" w:space="0" w:color="auto"/>
        <w:left w:val="none" w:sz="0" w:space="0" w:color="auto"/>
        <w:bottom w:val="none" w:sz="0" w:space="0" w:color="auto"/>
        <w:right w:val="none" w:sz="0" w:space="0" w:color="auto"/>
      </w:divBdr>
      <w:divsChild>
        <w:div w:id="1733117862">
          <w:marLeft w:val="0"/>
          <w:marRight w:val="0"/>
          <w:marTop w:val="0"/>
          <w:marBottom w:val="0"/>
          <w:divBdr>
            <w:top w:val="none" w:sz="0" w:space="0" w:color="auto"/>
            <w:left w:val="none" w:sz="0" w:space="0" w:color="auto"/>
            <w:bottom w:val="none" w:sz="0" w:space="0" w:color="auto"/>
            <w:right w:val="none" w:sz="0" w:space="0" w:color="auto"/>
          </w:divBdr>
          <w:divsChild>
            <w:div w:id="1614247093">
              <w:marLeft w:val="0"/>
              <w:marRight w:val="0"/>
              <w:marTop w:val="0"/>
              <w:marBottom w:val="0"/>
              <w:divBdr>
                <w:top w:val="none" w:sz="0" w:space="0" w:color="auto"/>
                <w:left w:val="none" w:sz="0" w:space="0" w:color="auto"/>
                <w:bottom w:val="none" w:sz="0" w:space="0" w:color="auto"/>
                <w:right w:val="none" w:sz="0" w:space="0" w:color="auto"/>
              </w:divBdr>
              <w:divsChild>
                <w:div w:id="1133983877">
                  <w:marLeft w:val="0"/>
                  <w:marRight w:val="0"/>
                  <w:marTop w:val="0"/>
                  <w:marBottom w:val="0"/>
                  <w:divBdr>
                    <w:top w:val="none" w:sz="0" w:space="0" w:color="auto"/>
                    <w:left w:val="none" w:sz="0" w:space="0" w:color="auto"/>
                    <w:bottom w:val="none" w:sz="0" w:space="0" w:color="auto"/>
                    <w:right w:val="none" w:sz="0" w:space="0" w:color="auto"/>
                  </w:divBdr>
                  <w:divsChild>
                    <w:div w:id="1759254945">
                      <w:marLeft w:val="0"/>
                      <w:marRight w:val="0"/>
                      <w:marTop w:val="0"/>
                      <w:marBottom w:val="0"/>
                      <w:divBdr>
                        <w:top w:val="none" w:sz="0" w:space="0" w:color="auto"/>
                        <w:left w:val="none" w:sz="0" w:space="0" w:color="auto"/>
                        <w:bottom w:val="none" w:sz="0" w:space="0" w:color="auto"/>
                        <w:right w:val="none" w:sz="0" w:space="0" w:color="auto"/>
                      </w:divBdr>
                      <w:divsChild>
                        <w:div w:id="634215463">
                          <w:marLeft w:val="0"/>
                          <w:marRight w:val="0"/>
                          <w:marTop w:val="0"/>
                          <w:marBottom w:val="0"/>
                          <w:divBdr>
                            <w:top w:val="none" w:sz="0" w:space="0" w:color="auto"/>
                            <w:left w:val="none" w:sz="0" w:space="0" w:color="auto"/>
                            <w:bottom w:val="none" w:sz="0" w:space="0" w:color="auto"/>
                            <w:right w:val="none" w:sz="0" w:space="0" w:color="auto"/>
                          </w:divBdr>
                          <w:divsChild>
                            <w:div w:id="1415937424">
                              <w:marLeft w:val="0"/>
                              <w:marRight w:val="0"/>
                              <w:marTop w:val="0"/>
                              <w:marBottom w:val="0"/>
                              <w:divBdr>
                                <w:top w:val="none" w:sz="0" w:space="0" w:color="auto"/>
                                <w:left w:val="none" w:sz="0" w:space="0" w:color="auto"/>
                                <w:bottom w:val="none" w:sz="0" w:space="0" w:color="auto"/>
                                <w:right w:val="none" w:sz="0" w:space="0" w:color="auto"/>
                              </w:divBdr>
                              <w:divsChild>
                                <w:div w:id="2034334771">
                                  <w:marLeft w:val="0"/>
                                  <w:marRight w:val="0"/>
                                  <w:marTop w:val="0"/>
                                  <w:marBottom w:val="0"/>
                                  <w:divBdr>
                                    <w:top w:val="none" w:sz="0" w:space="0" w:color="auto"/>
                                    <w:left w:val="none" w:sz="0" w:space="0" w:color="auto"/>
                                    <w:bottom w:val="none" w:sz="0" w:space="0" w:color="auto"/>
                                    <w:right w:val="none" w:sz="0" w:space="0" w:color="auto"/>
                                  </w:divBdr>
                                  <w:divsChild>
                                    <w:div w:id="18473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702688">
      <w:bodyDiv w:val="1"/>
      <w:marLeft w:val="0"/>
      <w:marRight w:val="0"/>
      <w:marTop w:val="0"/>
      <w:marBottom w:val="0"/>
      <w:divBdr>
        <w:top w:val="none" w:sz="0" w:space="0" w:color="auto"/>
        <w:left w:val="none" w:sz="0" w:space="0" w:color="auto"/>
        <w:bottom w:val="none" w:sz="0" w:space="0" w:color="auto"/>
        <w:right w:val="none" w:sz="0" w:space="0" w:color="auto"/>
      </w:divBdr>
    </w:div>
    <w:div w:id="1686133989">
      <w:bodyDiv w:val="1"/>
      <w:marLeft w:val="0"/>
      <w:marRight w:val="0"/>
      <w:marTop w:val="0"/>
      <w:marBottom w:val="0"/>
      <w:divBdr>
        <w:top w:val="none" w:sz="0" w:space="0" w:color="auto"/>
        <w:left w:val="none" w:sz="0" w:space="0" w:color="auto"/>
        <w:bottom w:val="none" w:sz="0" w:space="0" w:color="auto"/>
        <w:right w:val="none" w:sz="0" w:space="0" w:color="auto"/>
      </w:divBdr>
    </w:div>
    <w:div w:id="1720469222">
      <w:bodyDiv w:val="1"/>
      <w:marLeft w:val="0"/>
      <w:marRight w:val="0"/>
      <w:marTop w:val="0"/>
      <w:marBottom w:val="0"/>
      <w:divBdr>
        <w:top w:val="none" w:sz="0" w:space="0" w:color="auto"/>
        <w:left w:val="none" w:sz="0" w:space="0" w:color="auto"/>
        <w:bottom w:val="none" w:sz="0" w:space="0" w:color="auto"/>
        <w:right w:val="none" w:sz="0" w:space="0" w:color="auto"/>
      </w:divBdr>
    </w:div>
    <w:div w:id="1730110295">
      <w:bodyDiv w:val="1"/>
      <w:marLeft w:val="0"/>
      <w:marRight w:val="0"/>
      <w:marTop w:val="0"/>
      <w:marBottom w:val="0"/>
      <w:divBdr>
        <w:top w:val="none" w:sz="0" w:space="0" w:color="auto"/>
        <w:left w:val="none" w:sz="0" w:space="0" w:color="auto"/>
        <w:bottom w:val="none" w:sz="0" w:space="0" w:color="auto"/>
        <w:right w:val="none" w:sz="0" w:space="0" w:color="auto"/>
      </w:divBdr>
    </w:div>
    <w:div w:id="1731685010">
      <w:bodyDiv w:val="1"/>
      <w:marLeft w:val="0"/>
      <w:marRight w:val="0"/>
      <w:marTop w:val="0"/>
      <w:marBottom w:val="0"/>
      <w:divBdr>
        <w:top w:val="none" w:sz="0" w:space="0" w:color="auto"/>
        <w:left w:val="none" w:sz="0" w:space="0" w:color="auto"/>
        <w:bottom w:val="none" w:sz="0" w:space="0" w:color="auto"/>
        <w:right w:val="none" w:sz="0" w:space="0" w:color="auto"/>
      </w:divBdr>
      <w:divsChild>
        <w:div w:id="714545977">
          <w:marLeft w:val="0"/>
          <w:marRight w:val="0"/>
          <w:marTop w:val="0"/>
          <w:marBottom w:val="0"/>
          <w:divBdr>
            <w:top w:val="none" w:sz="0" w:space="0" w:color="auto"/>
            <w:left w:val="none" w:sz="0" w:space="0" w:color="auto"/>
            <w:bottom w:val="none" w:sz="0" w:space="0" w:color="auto"/>
            <w:right w:val="none" w:sz="0" w:space="0" w:color="auto"/>
          </w:divBdr>
          <w:divsChild>
            <w:div w:id="465046570">
              <w:marLeft w:val="0"/>
              <w:marRight w:val="0"/>
              <w:marTop w:val="0"/>
              <w:marBottom w:val="0"/>
              <w:divBdr>
                <w:top w:val="none" w:sz="0" w:space="0" w:color="auto"/>
                <w:left w:val="none" w:sz="0" w:space="0" w:color="auto"/>
                <w:bottom w:val="none" w:sz="0" w:space="0" w:color="auto"/>
                <w:right w:val="none" w:sz="0" w:space="0" w:color="auto"/>
              </w:divBdr>
              <w:divsChild>
                <w:div w:id="1273244639">
                  <w:marLeft w:val="0"/>
                  <w:marRight w:val="0"/>
                  <w:marTop w:val="0"/>
                  <w:marBottom w:val="0"/>
                  <w:divBdr>
                    <w:top w:val="none" w:sz="0" w:space="0" w:color="auto"/>
                    <w:left w:val="none" w:sz="0" w:space="0" w:color="auto"/>
                    <w:bottom w:val="none" w:sz="0" w:space="0" w:color="auto"/>
                    <w:right w:val="none" w:sz="0" w:space="0" w:color="auto"/>
                  </w:divBdr>
                  <w:divsChild>
                    <w:div w:id="1582593921">
                      <w:marLeft w:val="0"/>
                      <w:marRight w:val="0"/>
                      <w:marTop w:val="0"/>
                      <w:marBottom w:val="0"/>
                      <w:divBdr>
                        <w:top w:val="none" w:sz="0" w:space="0" w:color="auto"/>
                        <w:left w:val="none" w:sz="0" w:space="0" w:color="auto"/>
                        <w:bottom w:val="none" w:sz="0" w:space="0" w:color="auto"/>
                        <w:right w:val="none" w:sz="0" w:space="0" w:color="auto"/>
                      </w:divBdr>
                      <w:divsChild>
                        <w:div w:id="2019500781">
                          <w:marLeft w:val="0"/>
                          <w:marRight w:val="0"/>
                          <w:marTop w:val="0"/>
                          <w:marBottom w:val="0"/>
                          <w:divBdr>
                            <w:top w:val="none" w:sz="0" w:space="0" w:color="auto"/>
                            <w:left w:val="none" w:sz="0" w:space="0" w:color="auto"/>
                            <w:bottom w:val="none" w:sz="0" w:space="0" w:color="auto"/>
                            <w:right w:val="none" w:sz="0" w:space="0" w:color="auto"/>
                          </w:divBdr>
                          <w:divsChild>
                            <w:div w:id="1359821144">
                              <w:marLeft w:val="0"/>
                              <w:marRight w:val="0"/>
                              <w:marTop w:val="0"/>
                              <w:marBottom w:val="0"/>
                              <w:divBdr>
                                <w:top w:val="none" w:sz="0" w:space="0" w:color="auto"/>
                                <w:left w:val="none" w:sz="0" w:space="0" w:color="auto"/>
                                <w:bottom w:val="none" w:sz="0" w:space="0" w:color="auto"/>
                                <w:right w:val="none" w:sz="0" w:space="0" w:color="auto"/>
                              </w:divBdr>
                              <w:divsChild>
                                <w:div w:id="2137138150">
                                  <w:marLeft w:val="0"/>
                                  <w:marRight w:val="0"/>
                                  <w:marTop w:val="0"/>
                                  <w:marBottom w:val="0"/>
                                  <w:divBdr>
                                    <w:top w:val="none" w:sz="0" w:space="0" w:color="auto"/>
                                    <w:left w:val="none" w:sz="0" w:space="0" w:color="auto"/>
                                    <w:bottom w:val="none" w:sz="0" w:space="0" w:color="auto"/>
                                    <w:right w:val="none" w:sz="0" w:space="0" w:color="auto"/>
                                  </w:divBdr>
                                  <w:divsChild>
                                    <w:div w:id="17338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8895759">
      <w:bodyDiv w:val="1"/>
      <w:marLeft w:val="0"/>
      <w:marRight w:val="0"/>
      <w:marTop w:val="0"/>
      <w:marBottom w:val="0"/>
      <w:divBdr>
        <w:top w:val="none" w:sz="0" w:space="0" w:color="auto"/>
        <w:left w:val="none" w:sz="0" w:space="0" w:color="auto"/>
        <w:bottom w:val="none" w:sz="0" w:space="0" w:color="auto"/>
        <w:right w:val="none" w:sz="0" w:space="0" w:color="auto"/>
      </w:divBdr>
    </w:div>
    <w:div w:id="1792284998">
      <w:bodyDiv w:val="1"/>
      <w:marLeft w:val="0"/>
      <w:marRight w:val="0"/>
      <w:marTop w:val="0"/>
      <w:marBottom w:val="0"/>
      <w:divBdr>
        <w:top w:val="none" w:sz="0" w:space="0" w:color="auto"/>
        <w:left w:val="none" w:sz="0" w:space="0" w:color="auto"/>
        <w:bottom w:val="none" w:sz="0" w:space="0" w:color="auto"/>
        <w:right w:val="none" w:sz="0" w:space="0" w:color="auto"/>
      </w:divBdr>
    </w:div>
    <w:div w:id="1796488320">
      <w:bodyDiv w:val="1"/>
      <w:marLeft w:val="0"/>
      <w:marRight w:val="0"/>
      <w:marTop w:val="0"/>
      <w:marBottom w:val="0"/>
      <w:divBdr>
        <w:top w:val="none" w:sz="0" w:space="0" w:color="auto"/>
        <w:left w:val="none" w:sz="0" w:space="0" w:color="auto"/>
        <w:bottom w:val="none" w:sz="0" w:space="0" w:color="auto"/>
        <w:right w:val="none" w:sz="0" w:space="0" w:color="auto"/>
      </w:divBdr>
    </w:div>
    <w:div w:id="1823543480">
      <w:bodyDiv w:val="1"/>
      <w:marLeft w:val="0"/>
      <w:marRight w:val="0"/>
      <w:marTop w:val="0"/>
      <w:marBottom w:val="0"/>
      <w:divBdr>
        <w:top w:val="none" w:sz="0" w:space="0" w:color="auto"/>
        <w:left w:val="none" w:sz="0" w:space="0" w:color="auto"/>
        <w:bottom w:val="none" w:sz="0" w:space="0" w:color="auto"/>
        <w:right w:val="none" w:sz="0" w:space="0" w:color="auto"/>
      </w:divBdr>
    </w:div>
    <w:div w:id="1870869304">
      <w:bodyDiv w:val="1"/>
      <w:marLeft w:val="0"/>
      <w:marRight w:val="0"/>
      <w:marTop w:val="0"/>
      <w:marBottom w:val="0"/>
      <w:divBdr>
        <w:top w:val="none" w:sz="0" w:space="0" w:color="auto"/>
        <w:left w:val="none" w:sz="0" w:space="0" w:color="auto"/>
        <w:bottom w:val="none" w:sz="0" w:space="0" w:color="auto"/>
        <w:right w:val="none" w:sz="0" w:space="0" w:color="auto"/>
      </w:divBdr>
    </w:div>
    <w:div w:id="1908563597">
      <w:bodyDiv w:val="1"/>
      <w:marLeft w:val="0"/>
      <w:marRight w:val="0"/>
      <w:marTop w:val="0"/>
      <w:marBottom w:val="0"/>
      <w:divBdr>
        <w:top w:val="none" w:sz="0" w:space="0" w:color="auto"/>
        <w:left w:val="none" w:sz="0" w:space="0" w:color="auto"/>
        <w:bottom w:val="none" w:sz="0" w:space="0" w:color="auto"/>
        <w:right w:val="none" w:sz="0" w:space="0" w:color="auto"/>
      </w:divBdr>
    </w:div>
    <w:div w:id="1926717445">
      <w:bodyDiv w:val="1"/>
      <w:marLeft w:val="0"/>
      <w:marRight w:val="0"/>
      <w:marTop w:val="0"/>
      <w:marBottom w:val="0"/>
      <w:divBdr>
        <w:top w:val="none" w:sz="0" w:space="0" w:color="auto"/>
        <w:left w:val="none" w:sz="0" w:space="0" w:color="auto"/>
        <w:bottom w:val="none" w:sz="0" w:space="0" w:color="auto"/>
        <w:right w:val="none" w:sz="0" w:space="0" w:color="auto"/>
      </w:divBdr>
    </w:div>
    <w:div w:id="1930189612">
      <w:bodyDiv w:val="1"/>
      <w:marLeft w:val="0"/>
      <w:marRight w:val="0"/>
      <w:marTop w:val="0"/>
      <w:marBottom w:val="0"/>
      <w:divBdr>
        <w:top w:val="none" w:sz="0" w:space="0" w:color="auto"/>
        <w:left w:val="none" w:sz="0" w:space="0" w:color="auto"/>
        <w:bottom w:val="none" w:sz="0" w:space="0" w:color="auto"/>
        <w:right w:val="none" w:sz="0" w:space="0" w:color="auto"/>
      </w:divBdr>
    </w:div>
    <w:div w:id="1935506811">
      <w:bodyDiv w:val="1"/>
      <w:marLeft w:val="0"/>
      <w:marRight w:val="0"/>
      <w:marTop w:val="0"/>
      <w:marBottom w:val="0"/>
      <w:divBdr>
        <w:top w:val="none" w:sz="0" w:space="0" w:color="auto"/>
        <w:left w:val="none" w:sz="0" w:space="0" w:color="auto"/>
        <w:bottom w:val="none" w:sz="0" w:space="0" w:color="auto"/>
        <w:right w:val="none" w:sz="0" w:space="0" w:color="auto"/>
      </w:divBdr>
    </w:div>
    <w:div w:id="1942299751">
      <w:bodyDiv w:val="1"/>
      <w:marLeft w:val="0"/>
      <w:marRight w:val="0"/>
      <w:marTop w:val="0"/>
      <w:marBottom w:val="0"/>
      <w:divBdr>
        <w:top w:val="none" w:sz="0" w:space="0" w:color="auto"/>
        <w:left w:val="none" w:sz="0" w:space="0" w:color="auto"/>
        <w:bottom w:val="none" w:sz="0" w:space="0" w:color="auto"/>
        <w:right w:val="none" w:sz="0" w:space="0" w:color="auto"/>
      </w:divBdr>
    </w:div>
    <w:div w:id="2017880599">
      <w:bodyDiv w:val="1"/>
      <w:marLeft w:val="0"/>
      <w:marRight w:val="0"/>
      <w:marTop w:val="0"/>
      <w:marBottom w:val="0"/>
      <w:divBdr>
        <w:top w:val="none" w:sz="0" w:space="0" w:color="auto"/>
        <w:left w:val="none" w:sz="0" w:space="0" w:color="auto"/>
        <w:bottom w:val="none" w:sz="0" w:space="0" w:color="auto"/>
        <w:right w:val="none" w:sz="0" w:space="0" w:color="auto"/>
      </w:divBdr>
    </w:div>
    <w:div w:id="2018381839">
      <w:bodyDiv w:val="1"/>
      <w:marLeft w:val="0"/>
      <w:marRight w:val="0"/>
      <w:marTop w:val="0"/>
      <w:marBottom w:val="0"/>
      <w:divBdr>
        <w:top w:val="none" w:sz="0" w:space="0" w:color="auto"/>
        <w:left w:val="none" w:sz="0" w:space="0" w:color="auto"/>
        <w:bottom w:val="none" w:sz="0" w:space="0" w:color="auto"/>
        <w:right w:val="none" w:sz="0" w:space="0" w:color="auto"/>
      </w:divBdr>
    </w:div>
    <w:div w:id="2025281240">
      <w:bodyDiv w:val="1"/>
      <w:marLeft w:val="0"/>
      <w:marRight w:val="0"/>
      <w:marTop w:val="0"/>
      <w:marBottom w:val="0"/>
      <w:divBdr>
        <w:top w:val="none" w:sz="0" w:space="0" w:color="auto"/>
        <w:left w:val="none" w:sz="0" w:space="0" w:color="auto"/>
        <w:bottom w:val="none" w:sz="0" w:space="0" w:color="auto"/>
        <w:right w:val="none" w:sz="0" w:space="0" w:color="auto"/>
      </w:divBdr>
    </w:div>
    <w:div w:id="2034500726">
      <w:bodyDiv w:val="1"/>
      <w:marLeft w:val="0"/>
      <w:marRight w:val="0"/>
      <w:marTop w:val="0"/>
      <w:marBottom w:val="0"/>
      <w:divBdr>
        <w:top w:val="none" w:sz="0" w:space="0" w:color="auto"/>
        <w:left w:val="none" w:sz="0" w:space="0" w:color="auto"/>
        <w:bottom w:val="none" w:sz="0" w:space="0" w:color="auto"/>
        <w:right w:val="none" w:sz="0" w:space="0" w:color="auto"/>
      </w:divBdr>
    </w:div>
    <w:div w:id="2086024910">
      <w:bodyDiv w:val="1"/>
      <w:marLeft w:val="0"/>
      <w:marRight w:val="0"/>
      <w:marTop w:val="0"/>
      <w:marBottom w:val="0"/>
      <w:divBdr>
        <w:top w:val="none" w:sz="0" w:space="0" w:color="auto"/>
        <w:left w:val="none" w:sz="0" w:space="0" w:color="auto"/>
        <w:bottom w:val="none" w:sz="0" w:space="0" w:color="auto"/>
        <w:right w:val="none" w:sz="0" w:space="0" w:color="auto"/>
      </w:divBdr>
    </w:div>
    <w:div w:id="2088838131">
      <w:bodyDiv w:val="1"/>
      <w:marLeft w:val="0"/>
      <w:marRight w:val="0"/>
      <w:marTop w:val="0"/>
      <w:marBottom w:val="0"/>
      <w:divBdr>
        <w:top w:val="none" w:sz="0" w:space="0" w:color="auto"/>
        <w:left w:val="none" w:sz="0" w:space="0" w:color="auto"/>
        <w:bottom w:val="none" w:sz="0" w:space="0" w:color="auto"/>
        <w:right w:val="none" w:sz="0" w:space="0" w:color="auto"/>
      </w:divBdr>
    </w:div>
    <w:div w:id="2117479329">
      <w:bodyDiv w:val="1"/>
      <w:marLeft w:val="0"/>
      <w:marRight w:val="0"/>
      <w:marTop w:val="0"/>
      <w:marBottom w:val="0"/>
      <w:divBdr>
        <w:top w:val="none" w:sz="0" w:space="0" w:color="auto"/>
        <w:left w:val="none" w:sz="0" w:space="0" w:color="auto"/>
        <w:bottom w:val="none" w:sz="0" w:space="0" w:color="auto"/>
        <w:right w:val="none" w:sz="0" w:space="0" w:color="auto"/>
      </w:divBdr>
    </w:div>
    <w:div w:id="2120567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dmunifacs.wordpress.com/wp-content/uploads/2016/08/anc3a1lise-de-contec3bado-laurence-bardin.pdf"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EF453-C5DD-4E22-9F9E-4940F45CB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17989</Words>
  <Characters>97146</Characters>
  <Application>Microsoft Office Word</Application>
  <DocSecurity>0</DocSecurity>
  <Lines>809</Lines>
  <Paragraphs>229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PRÉ-PROJETO TCC</vt:lpstr>
      <vt:lpstr>MODELO PRÉ-PROJETO TCC</vt:lpstr>
    </vt:vector>
  </TitlesOfParts>
  <Company/>
  <LinksUpToDate>false</LinksUpToDate>
  <CharactersWithSpaces>114906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PRÉ-PROJETO TCC</dc:title>
  <dc:creator>Fernanda de Cássia</dc:creator>
  <cp:lastModifiedBy>roberta</cp:lastModifiedBy>
  <cp:revision>2</cp:revision>
  <dcterms:created xsi:type="dcterms:W3CDTF">2025-11-10T00:55:00Z</dcterms:created>
  <dcterms:modified xsi:type="dcterms:W3CDTF">2025-11-10T00:55:00Z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2014-02-26T00:00:00Z</vt:filetime>
  </property>
  <property fmtid="{D5CDD505-2E9C-101B-9397-08002B2CF9AE}" pid="3" name="Creator">
    <vt:lpwstr>Microsoft® Word 2013</vt:lpwstr>
  </property>
  <property fmtid="{D5CDD505-2E9C-101B-9397-08002B2CF9AE}" pid="4" name="LastSaved">
    <vt:filetime>2025-02-14T00:00:00Z</vt:filetime>
  </property>
  <property fmtid="{D5CDD505-2E9C-101B-9397-08002B2CF9AE}" pid="5" name="Producer">
    <vt:lpwstr>Microsoft® Word 2013</vt:lpwstr>
  </property>
</Properties>
</file>