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2F9BC" w14:textId="77777777" w:rsidR="00930AE5" w:rsidRDefault="00930AE5" w:rsidP="00930AE5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color w:val="000000"/>
        </w:rPr>
      </w:pPr>
      <w:bookmarkStart w:id="0" w:name="_heading=h.jiprljt3b36o" w:colFirst="0" w:colLast="0"/>
      <w:bookmarkEnd w:id="0"/>
      <w:r>
        <w:rPr>
          <w:rFonts w:ascii="Arial" w:eastAsia="Arial" w:hAnsi="Arial" w:cs="Arial"/>
          <w:noProof/>
          <w:color w:val="000000"/>
          <w:lang w:eastAsia="pt-BR"/>
        </w:rPr>
        <w:drawing>
          <wp:inline distT="0" distB="0" distL="0" distR="0" wp14:anchorId="659F9110" wp14:editId="358D0BD3">
            <wp:extent cx="2397079" cy="725116"/>
            <wp:effectExtent l="0" t="0" r="0" b="0"/>
            <wp:docPr id="10" name="image1.png" descr="Uma imagem contendo placar, desenh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ma imagem contendo placar, desenh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7079" cy="7251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83930A" w14:textId="77777777" w:rsidR="00930AE5" w:rsidRDefault="00930AE5" w:rsidP="00930AE5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</w:p>
    <w:p w14:paraId="67ACB621" w14:textId="77777777" w:rsidR="00930AE5" w:rsidRDefault="00930AE5" w:rsidP="00930AE5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FACULDADE METROPOLITANA DO ESTADO DE SÃO PAULO</w:t>
      </w:r>
    </w:p>
    <w:p w14:paraId="67D40579" w14:textId="77777777" w:rsidR="00930AE5" w:rsidRDefault="00930AE5" w:rsidP="00930AE5">
      <w:pPr>
        <w:widowControl w:val="0"/>
        <w:spacing w:after="0" w:line="240" w:lineRule="auto"/>
        <w:rPr>
          <w:rFonts w:ascii="Arial" w:eastAsia="Arial" w:hAnsi="Arial" w:cs="Arial"/>
        </w:rPr>
      </w:pPr>
    </w:p>
    <w:p w14:paraId="4BE2EBF7" w14:textId="77777777" w:rsidR="00930AE5" w:rsidRDefault="00930AE5" w:rsidP="00930AE5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5B8349FB" w14:textId="77777777" w:rsidR="00930AE5" w:rsidRDefault="00930AE5" w:rsidP="00930AE5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GRADUAÇÃO EM ADMINISTRAÇÃO</w:t>
      </w:r>
    </w:p>
    <w:p w14:paraId="56BA078F" w14:textId="77777777" w:rsidR="00930AE5" w:rsidRDefault="00930AE5" w:rsidP="00930AE5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39C0EFF0" w14:textId="77777777" w:rsidR="00930AE5" w:rsidRDefault="00930AE5" w:rsidP="00930AE5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39C18EBF" w14:textId="77777777" w:rsidR="00930AE5" w:rsidRDefault="00930AE5" w:rsidP="00930AE5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518E16F1" w14:textId="77777777" w:rsidR="00930AE5" w:rsidRDefault="00930AE5" w:rsidP="00930AE5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Aversão ao risco e inovação: como o gestor influencia o crescimento nas empresas </w:t>
      </w:r>
    </w:p>
    <w:p w14:paraId="5313086C" w14:textId="77777777" w:rsidR="00930AE5" w:rsidRDefault="00930AE5" w:rsidP="00930AE5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1C36EE27" w14:textId="77777777" w:rsidR="00930AE5" w:rsidRDefault="00930AE5" w:rsidP="00930AE5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25B1C9F" w14:textId="77777777" w:rsidR="00930AE5" w:rsidRDefault="00930AE5" w:rsidP="00930AE5">
      <w:pPr>
        <w:widowControl w:val="0"/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Caetano Jorge Tavares</w:t>
      </w:r>
    </w:p>
    <w:p w14:paraId="7C65BA0D" w14:textId="460A1E9B" w:rsidR="00930AE5" w:rsidRDefault="00353827" w:rsidP="00930AE5">
      <w:pPr>
        <w:widowControl w:val="0"/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</w:t>
      </w:r>
      <w:r w:rsidR="00930AE5">
        <w:rPr>
          <w:rFonts w:ascii="Arial" w:eastAsia="Arial" w:hAnsi="Arial" w:cs="Arial"/>
          <w:sz w:val="24"/>
          <w:szCs w:val="24"/>
        </w:rPr>
        <w:t xml:space="preserve">rientador </w:t>
      </w:r>
      <w:proofErr w:type="spellStart"/>
      <w:r w:rsidRPr="00353827">
        <w:rPr>
          <w:rFonts w:ascii="Arial" w:eastAsia="Arial" w:hAnsi="Arial" w:cs="Arial"/>
          <w:sz w:val="24"/>
          <w:szCs w:val="24"/>
        </w:rPr>
        <w:t>Hencrer</w:t>
      </w:r>
      <w:proofErr w:type="spellEnd"/>
      <w:r w:rsidRPr="00353827">
        <w:rPr>
          <w:rFonts w:ascii="Arial" w:eastAsia="Arial" w:hAnsi="Arial" w:cs="Arial"/>
          <w:sz w:val="24"/>
          <w:szCs w:val="24"/>
        </w:rPr>
        <w:t xml:space="preserve"> Gonçalves da Silva</w:t>
      </w:r>
    </w:p>
    <w:p w14:paraId="122EECC7" w14:textId="77777777" w:rsidR="00414453" w:rsidRPr="003147F5" w:rsidRDefault="00414453" w:rsidP="003147F5">
      <w:pPr>
        <w:spacing w:before="100" w:beforeAutospacing="1" w:after="100" w:afterAutospacing="1" w:line="360" w:lineRule="auto"/>
        <w:ind w:left="360"/>
        <w:jc w:val="both"/>
        <w:outlineLvl w:val="1"/>
        <w:rPr>
          <w:rFonts w:ascii="Arial" w:eastAsia="Times New Roman" w:hAnsi="Arial" w:cs="Arial"/>
          <w:b/>
          <w:bCs/>
          <w:sz w:val="36"/>
          <w:szCs w:val="36"/>
          <w:lang w:eastAsia="pt-BR"/>
        </w:rPr>
      </w:pPr>
      <w:r w:rsidRPr="003147F5">
        <w:rPr>
          <w:rFonts w:ascii="Arial" w:eastAsia="Times New Roman" w:hAnsi="Arial" w:cs="Arial"/>
          <w:b/>
          <w:bCs/>
          <w:sz w:val="36"/>
          <w:szCs w:val="36"/>
          <w:lang w:eastAsia="pt-BR"/>
        </w:rPr>
        <w:t>Resumo</w:t>
      </w:r>
    </w:p>
    <w:p w14:paraId="2D3E3974" w14:textId="77777777" w:rsidR="00414453" w:rsidRPr="00F17EF7" w:rsidRDefault="00414453" w:rsidP="00F17EF7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17EF7">
        <w:rPr>
          <w:rFonts w:ascii="Arial" w:eastAsia="Times New Roman" w:hAnsi="Arial" w:cs="Arial"/>
          <w:sz w:val="24"/>
          <w:szCs w:val="24"/>
          <w:lang w:eastAsia="pt-BR"/>
        </w:rPr>
        <w:t xml:space="preserve">O presente trabalho analisa a relação entre a aversão ao risco e a inovação nas organizações, destacando como o perfil do gestor influencia o crescimento e a competitividade empresarial. A pesquisa, de caráter qualitativo e baseada em revisão bibliográfica, utiliza como referenciais teóricos autores como Kahneman e </w:t>
      </w:r>
      <w:proofErr w:type="spellStart"/>
      <w:r w:rsidRPr="00F17EF7">
        <w:rPr>
          <w:rFonts w:ascii="Arial" w:eastAsia="Times New Roman" w:hAnsi="Arial" w:cs="Arial"/>
          <w:sz w:val="24"/>
          <w:szCs w:val="24"/>
          <w:lang w:eastAsia="pt-BR"/>
        </w:rPr>
        <w:t>Tversky</w:t>
      </w:r>
      <w:proofErr w:type="spellEnd"/>
      <w:r w:rsidRPr="00F17EF7">
        <w:rPr>
          <w:rFonts w:ascii="Arial" w:eastAsia="Times New Roman" w:hAnsi="Arial" w:cs="Arial"/>
          <w:sz w:val="24"/>
          <w:szCs w:val="24"/>
          <w:lang w:eastAsia="pt-BR"/>
        </w:rPr>
        <w:t xml:space="preserve"> (1979), Fagundes, </w:t>
      </w:r>
      <w:proofErr w:type="spellStart"/>
      <w:r w:rsidRPr="00F17EF7">
        <w:rPr>
          <w:rFonts w:ascii="Arial" w:eastAsia="Times New Roman" w:hAnsi="Arial" w:cs="Arial"/>
          <w:sz w:val="24"/>
          <w:szCs w:val="24"/>
          <w:lang w:eastAsia="pt-BR"/>
        </w:rPr>
        <w:t>Schnorrenberger</w:t>
      </w:r>
      <w:proofErr w:type="spellEnd"/>
      <w:r w:rsidRPr="00F17EF7">
        <w:rPr>
          <w:rFonts w:ascii="Arial" w:eastAsia="Times New Roman" w:hAnsi="Arial" w:cs="Arial"/>
          <w:sz w:val="24"/>
          <w:szCs w:val="24"/>
          <w:lang w:eastAsia="pt-BR"/>
        </w:rPr>
        <w:t xml:space="preserve"> e </w:t>
      </w:r>
      <w:proofErr w:type="spellStart"/>
      <w:r w:rsidRPr="00F17EF7">
        <w:rPr>
          <w:rFonts w:ascii="Arial" w:eastAsia="Times New Roman" w:hAnsi="Arial" w:cs="Arial"/>
          <w:sz w:val="24"/>
          <w:szCs w:val="24"/>
          <w:lang w:eastAsia="pt-BR"/>
        </w:rPr>
        <w:t>Lunkes</w:t>
      </w:r>
      <w:proofErr w:type="spellEnd"/>
      <w:r w:rsidRPr="00F17EF7">
        <w:rPr>
          <w:rFonts w:ascii="Arial" w:eastAsia="Times New Roman" w:hAnsi="Arial" w:cs="Arial"/>
          <w:sz w:val="24"/>
          <w:szCs w:val="24"/>
          <w:lang w:eastAsia="pt-BR"/>
        </w:rPr>
        <w:t xml:space="preserve"> (2019), </w:t>
      </w:r>
      <w:proofErr w:type="spellStart"/>
      <w:r w:rsidRPr="00F17EF7">
        <w:rPr>
          <w:rFonts w:ascii="Arial" w:eastAsia="Times New Roman" w:hAnsi="Arial" w:cs="Arial"/>
          <w:sz w:val="24"/>
          <w:szCs w:val="24"/>
          <w:lang w:eastAsia="pt-BR"/>
        </w:rPr>
        <w:t>Tidd</w:t>
      </w:r>
      <w:proofErr w:type="spellEnd"/>
      <w:r w:rsidRPr="00F17EF7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F17EF7">
        <w:rPr>
          <w:rFonts w:ascii="Arial" w:eastAsia="Times New Roman" w:hAnsi="Arial" w:cs="Arial"/>
          <w:sz w:val="24"/>
          <w:szCs w:val="24"/>
          <w:lang w:eastAsia="pt-BR"/>
        </w:rPr>
        <w:t>Bessant</w:t>
      </w:r>
      <w:proofErr w:type="spellEnd"/>
      <w:r w:rsidRPr="00F17EF7">
        <w:rPr>
          <w:rFonts w:ascii="Arial" w:eastAsia="Times New Roman" w:hAnsi="Arial" w:cs="Arial"/>
          <w:sz w:val="24"/>
          <w:szCs w:val="24"/>
          <w:lang w:eastAsia="pt-BR"/>
        </w:rPr>
        <w:t xml:space="preserve"> e </w:t>
      </w:r>
      <w:proofErr w:type="spellStart"/>
      <w:r w:rsidRPr="00F17EF7">
        <w:rPr>
          <w:rFonts w:ascii="Arial" w:eastAsia="Times New Roman" w:hAnsi="Arial" w:cs="Arial"/>
          <w:sz w:val="24"/>
          <w:szCs w:val="24"/>
          <w:lang w:eastAsia="pt-BR"/>
        </w:rPr>
        <w:t>Pavitt</w:t>
      </w:r>
      <w:proofErr w:type="spellEnd"/>
      <w:r w:rsidRPr="00F17EF7">
        <w:rPr>
          <w:rFonts w:ascii="Arial" w:eastAsia="Times New Roman" w:hAnsi="Arial" w:cs="Arial"/>
          <w:sz w:val="24"/>
          <w:szCs w:val="24"/>
          <w:lang w:eastAsia="pt-BR"/>
        </w:rPr>
        <w:t xml:space="preserve"> (2008), </w:t>
      </w:r>
      <w:proofErr w:type="spellStart"/>
      <w:r w:rsidRPr="00F17EF7">
        <w:rPr>
          <w:rFonts w:ascii="Arial" w:eastAsia="Times New Roman" w:hAnsi="Arial" w:cs="Arial"/>
          <w:sz w:val="24"/>
          <w:szCs w:val="24"/>
          <w:lang w:eastAsia="pt-BR"/>
        </w:rPr>
        <w:t>Teece</w:t>
      </w:r>
      <w:proofErr w:type="spellEnd"/>
      <w:r w:rsidRPr="00F17EF7">
        <w:rPr>
          <w:rFonts w:ascii="Arial" w:eastAsia="Times New Roman" w:hAnsi="Arial" w:cs="Arial"/>
          <w:sz w:val="24"/>
          <w:szCs w:val="24"/>
          <w:lang w:eastAsia="pt-BR"/>
        </w:rPr>
        <w:t xml:space="preserve"> (2010) e </w:t>
      </w:r>
      <w:proofErr w:type="spellStart"/>
      <w:r w:rsidRPr="00F17EF7">
        <w:rPr>
          <w:rFonts w:ascii="Arial" w:eastAsia="Times New Roman" w:hAnsi="Arial" w:cs="Arial"/>
          <w:sz w:val="24"/>
          <w:szCs w:val="24"/>
          <w:lang w:eastAsia="pt-BR"/>
        </w:rPr>
        <w:t>Meroño-Cerdán</w:t>
      </w:r>
      <w:proofErr w:type="spellEnd"/>
      <w:r w:rsidRPr="00F17EF7">
        <w:rPr>
          <w:rFonts w:ascii="Arial" w:eastAsia="Times New Roman" w:hAnsi="Arial" w:cs="Arial"/>
          <w:sz w:val="24"/>
          <w:szCs w:val="24"/>
          <w:lang w:eastAsia="pt-BR"/>
        </w:rPr>
        <w:t>, López-Nicolás e Molina-Castillo (2017). Observa-se que a postura do gestor diante do risco impacta diretamente a capacidade inovadora da empresa, podendo estimular ou restringir o desenvolvimento organizacional. Casos práticos como os da Tesla, Natura, Magazine Luiza e Embraer demonstram diferentes formas de equilibrar prudência e ousadia na gestão. Conclui-se que o equilíbrio entre aversão e propensão ao risco constitui um dos principais fatores para a sustentabilidade e o sucesso da inovação, sendo o gestor o agente central na transformação do risco em oportunidade de aprendizado e vantagem competitiva.</w:t>
      </w:r>
    </w:p>
    <w:p w14:paraId="72DEA706" w14:textId="77777777" w:rsidR="00117C21" w:rsidRDefault="00117C21" w:rsidP="00930AE5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BR"/>
        </w:rPr>
      </w:pPr>
    </w:p>
    <w:p w14:paraId="7236B982" w14:textId="5614B132" w:rsidR="00930AE5" w:rsidRDefault="00414453" w:rsidP="00930AE5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B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BR"/>
        </w:rPr>
        <w:lastRenderedPageBreak/>
        <w:t>Abstract</w:t>
      </w:r>
    </w:p>
    <w:p w14:paraId="5182CADA" w14:textId="77777777" w:rsidR="00BA3F32" w:rsidRPr="00BA3F32" w:rsidRDefault="00BA3F32" w:rsidP="00BA3F32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This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study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analyzes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the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relationship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between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risk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aversion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and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innovation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in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organizations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emphasizing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how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the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manager’s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profile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influences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business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growth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and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competitiveness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. The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research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adopts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a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qualitative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approach,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based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on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a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bibliographic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review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grounded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on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authors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such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as Kahneman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and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Tversky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(1979), Fagundes,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Schnorrenberger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and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Lunkes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(2019),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Tidd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Bessant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and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Pavitt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(2008),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Teece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(2010),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and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Meroño-Cerdán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, López-Nicolás,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and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Molina-Castillo (2017). The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findings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show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that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a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manager’s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attitude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toward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risk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directly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affects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the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organization’s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innovative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capacity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either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stimulating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or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constraining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its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development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. Real-world cases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such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as Tesla, Natura, Magazine Luiza,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and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Embraer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illustrate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different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approaches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to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balancing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prudence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and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boldness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in management. It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is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concluded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that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balancing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risk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aversion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and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risk-taking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is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essential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for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sustainable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growth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and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successful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innovation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with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managers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playing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a central role in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turning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risk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into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learning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opportunities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and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competitive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advantage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21ACF2F3" w14:textId="77777777" w:rsidR="00BA3F32" w:rsidRPr="00BA3F32" w:rsidRDefault="00BA3F32" w:rsidP="00117C21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Keywords: Risk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aversion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Innovation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. Business management.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Decision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-making.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Organizational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BA3F32">
        <w:rPr>
          <w:rFonts w:ascii="Arial" w:eastAsia="Times New Roman" w:hAnsi="Arial" w:cs="Arial"/>
          <w:sz w:val="24"/>
          <w:szCs w:val="24"/>
          <w:lang w:eastAsia="pt-BR"/>
        </w:rPr>
        <w:t>growth</w:t>
      </w:r>
      <w:proofErr w:type="spellEnd"/>
      <w:r w:rsidRPr="00BA3F32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3131E72D" w14:textId="77777777" w:rsidR="00BA3F32" w:rsidRDefault="00BA3F32" w:rsidP="00930AE5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BR"/>
        </w:rPr>
      </w:pPr>
    </w:p>
    <w:p w14:paraId="00E070BA" w14:textId="77777777" w:rsidR="00CA3321" w:rsidRPr="00CA3321" w:rsidRDefault="007B41D2" w:rsidP="00930AE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pict w14:anchorId="65BC820E">
          <v:rect id="_x0000_i1026" style="width:0;height:1.5pt" o:hralign="center" o:hrstd="t" o:hr="t" fillcolor="#a0a0a0" stroked="f"/>
        </w:pict>
      </w:r>
    </w:p>
    <w:p w14:paraId="3D5146A5" w14:textId="4B2CB791" w:rsidR="00CA3321" w:rsidRPr="00D012EA" w:rsidRDefault="00CA3321" w:rsidP="00D012EA">
      <w:pPr>
        <w:pStyle w:val="PargrafodaLista"/>
        <w:numPr>
          <w:ilvl w:val="0"/>
          <w:numId w:val="1"/>
        </w:numPr>
        <w:spacing w:before="100" w:beforeAutospacing="1" w:after="100" w:afterAutospacing="1" w:line="360" w:lineRule="auto"/>
        <w:jc w:val="both"/>
        <w:outlineLvl w:val="1"/>
        <w:rPr>
          <w:rFonts w:ascii="Arial" w:eastAsia="Times New Roman" w:hAnsi="Arial" w:cs="Arial"/>
          <w:b/>
          <w:bCs/>
          <w:sz w:val="36"/>
          <w:szCs w:val="36"/>
          <w:lang w:eastAsia="pt-BR"/>
        </w:rPr>
      </w:pPr>
      <w:r w:rsidRPr="00D012EA">
        <w:rPr>
          <w:rFonts w:ascii="Arial" w:eastAsia="Times New Roman" w:hAnsi="Arial" w:cs="Arial"/>
          <w:b/>
          <w:bCs/>
          <w:sz w:val="36"/>
          <w:szCs w:val="36"/>
          <w:lang w:eastAsia="pt-BR"/>
        </w:rPr>
        <w:t>INTRODUÇÃO</w:t>
      </w:r>
    </w:p>
    <w:p w14:paraId="4496D05F" w14:textId="6C8CF3F2" w:rsidR="00117C21" w:rsidRPr="00117C21" w:rsidRDefault="00117C21" w:rsidP="00117C21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17C21">
        <w:rPr>
          <w:rFonts w:ascii="Arial" w:eastAsia="Times New Roman" w:hAnsi="Arial" w:cs="Arial"/>
          <w:sz w:val="24"/>
          <w:szCs w:val="24"/>
          <w:lang w:eastAsia="pt-BR"/>
        </w:rPr>
        <w:t>O objetivo deste estudo é analisar como a aversão ao risco dos gestores influencia os processos de inovação e o crescimento das empresas. Busca-se compreender de que maneira o perfil comportamental e a postura gerencial diante da incerteza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do mercado</w:t>
      </w:r>
      <w:r w:rsidRPr="00117C21">
        <w:rPr>
          <w:rFonts w:ascii="Arial" w:eastAsia="Times New Roman" w:hAnsi="Arial" w:cs="Arial"/>
          <w:sz w:val="24"/>
          <w:szCs w:val="24"/>
          <w:lang w:eastAsia="pt-BR"/>
        </w:rPr>
        <w:t xml:space="preserve"> impactam a adoção de estratégias inovadoras e a capacidade competitiva das organizações em um ambiente empresarial</w:t>
      </w:r>
      <w:r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323D45AA" w14:textId="39ADA80C" w:rsidR="00A65295" w:rsidRPr="00117C21" w:rsidRDefault="00117C21" w:rsidP="00117C21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17C21">
        <w:rPr>
          <w:rFonts w:ascii="Arial" w:eastAsia="Times New Roman" w:hAnsi="Arial" w:cs="Arial"/>
          <w:sz w:val="24"/>
          <w:szCs w:val="24"/>
          <w:lang w:eastAsia="pt-BR"/>
        </w:rPr>
        <w:t xml:space="preserve">Para atingir o objetivo proposto, o trabalho estabelece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as metas: </w:t>
      </w:r>
      <w:r w:rsidRPr="00117C21">
        <w:rPr>
          <w:rFonts w:ascii="Arial" w:eastAsia="Times New Roman" w:hAnsi="Arial" w:cs="Arial"/>
          <w:sz w:val="24"/>
          <w:szCs w:val="24"/>
          <w:lang w:eastAsia="pt-BR"/>
        </w:rPr>
        <w:t xml:space="preserve">Descrever como diferentes perfis gerenciais influenciam a propensão à </w:t>
      </w:r>
      <w:r w:rsidRPr="00117C21">
        <w:rPr>
          <w:rFonts w:ascii="Arial" w:eastAsia="Times New Roman" w:hAnsi="Arial" w:cs="Arial"/>
          <w:sz w:val="24"/>
          <w:szCs w:val="24"/>
          <w:lang w:eastAsia="pt-BR"/>
        </w:rPr>
        <w:lastRenderedPageBreak/>
        <w:t>inovação;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117C21">
        <w:rPr>
          <w:rFonts w:ascii="Arial" w:eastAsia="Times New Roman" w:hAnsi="Arial" w:cs="Arial"/>
          <w:sz w:val="24"/>
          <w:szCs w:val="24"/>
          <w:lang w:eastAsia="pt-BR"/>
        </w:rPr>
        <w:t>analisar casos práticos de empresas que equilibram risco e inovação,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117C21">
        <w:rPr>
          <w:rFonts w:ascii="Arial" w:eastAsia="Times New Roman" w:hAnsi="Arial" w:cs="Arial"/>
          <w:sz w:val="24"/>
          <w:szCs w:val="24"/>
          <w:lang w:eastAsia="pt-BR"/>
        </w:rPr>
        <w:t>como Tesla, Natura, Magazine Luiza e Embraer;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117C21">
        <w:rPr>
          <w:rFonts w:ascii="Arial" w:eastAsia="Times New Roman" w:hAnsi="Arial" w:cs="Arial"/>
          <w:sz w:val="24"/>
          <w:szCs w:val="24"/>
          <w:lang w:eastAsia="pt-BR"/>
        </w:rPr>
        <w:t>avaliar o papel do gestor na criação de uma cultura organizacional voltada à inovação;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117C21">
        <w:rPr>
          <w:rFonts w:ascii="Arial" w:eastAsia="Times New Roman" w:hAnsi="Arial" w:cs="Arial"/>
          <w:sz w:val="24"/>
          <w:szCs w:val="24"/>
          <w:lang w:eastAsia="pt-BR"/>
        </w:rPr>
        <w:t>propor reflexões sobre como o equilíbrio entre prudência e ousadia pode impulsionar o crescimento empresarial sustentável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a longo prazo e competitividade</w:t>
      </w:r>
      <w:r w:rsidRPr="00117C21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720FEED2" w14:textId="499C3528" w:rsidR="00CA3321" w:rsidRPr="00CA3321" w:rsidRDefault="00CA3321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O ambiente empresarial contemporâneo caracteriza-se por um </w:t>
      </w:r>
      <w:r w:rsidR="00353827">
        <w:rPr>
          <w:rFonts w:ascii="Arial" w:eastAsia="Times New Roman" w:hAnsi="Arial" w:cs="Arial"/>
          <w:sz w:val="24"/>
          <w:szCs w:val="24"/>
          <w:lang w:eastAsia="pt-BR"/>
        </w:rPr>
        <w:t xml:space="preserve">alto 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>nível de competitividade, impulsionado pela globalização, pela digitalização de processos e pela crescente exigência dos consumidores por produtos e serviços inovadores. Nesse cenário</w:t>
      </w:r>
      <w:r w:rsidR="00A869EC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 as empresas enfrentam desafios constantes relacionados à adaptação, à mudança e à capacidade de inovar. A inovação, portanto, não é mais uma opção, mas uma necessidade estratégica para assegurar a sobrevivência e o crescimento organizacional.</w:t>
      </w:r>
    </w:p>
    <w:p w14:paraId="6849F382" w14:textId="5F3ACF8F" w:rsidR="00CA3321" w:rsidRPr="00CA3321" w:rsidRDefault="00695EC7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I</w:t>
      </w:r>
      <w:r w:rsidR="00CA3321" w:rsidRPr="00CA3321">
        <w:rPr>
          <w:rFonts w:ascii="Arial" w:eastAsia="Times New Roman" w:hAnsi="Arial" w:cs="Arial"/>
          <w:sz w:val="24"/>
          <w:szCs w:val="24"/>
          <w:lang w:eastAsia="pt-BR"/>
        </w:rPr>
        <w:t>novar envolve inevitavelmente o enfrentamento de riscos. Projetos inovadores demandam recursos financeiros, humanos e tecnológicos significativos, além de exigirem decisões gerenciais que nem sempre apresentam resultados imediatos. Assim, a postura do gestor diante do risco torna-se um fator determinante no sucesso ou fracasso das iniciativas de inovação.</w:t>
      </w:r>
    </w:p>
    <w:p w14:paraId="780FC0ED" w14:textId="41F37530" w:rsidR="00CA3321" w:rsidRPr="00CA3321" w:rsidRDefault="00CA3321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De acordo com Kahneman e </w:t>
      </w:r>
      <w:proofErr w:type="spellStart"/>
      <w:r w:rsidRPr="00CA3321">
        <w:rPr>
          <w:rFonts w:ascii="Arial" w:eastAsia="Times New Roman" w:hAnsi="Arial" w:cs="Arial"/>
          <w:sz w:val="24"/>
          <w:szCs w:val="24"/>
          <w:lang w:eastAsia="pt-BR"/>
        </w:rPr>
        <w:t>Tversky</w:t>
      </w:r>
      <w:proofErr w:type="spellEnd"/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 (1979), os indivíduos tendem a apresentar aversão ao risco, preferindo evitar perdas mesmo quando a probabilidade de ganho é superior. Essa tendência comportamental, explicada pela </w:t>
      </w:r>
      <w:r w:rsidRPr="00CA3321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Teoria da Perspectiva</w:t>
      </w:r>
      <w:r w:rsidR="00394AB1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 ou Prospecção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 (</w:t>
      </w:r>
      <w:r w:rsidRPr="00CA3321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Prospect </w:t>
      </w:r>
      <w:proofErr w:type="spellStart"/>
      <w:r w:rsidRPr="00CA3321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Theory</w:t>
      </w:r>
      <w:proofErr w:type="spellEnd"/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), </w:t>
      </w:r>
      <w:r w:rsidR="00394AB1">
        <w:rPr>
          <w:rFonts w:ascii="Arial" w:eastAsia="Times New Roman" w:hAnsi="Arial" w:cs="Arial"/>
          <w:sz w:val="24"/>
          <w:szCs w:val="24"/>
          <w:lang w:eastAsia="pt-BR"/>
        </w:rPr>
        <w:t>onde através de pesquisa comportamental as pessoas tem preferência pel</w:t>
      </w:r>
      <w:r w:rsidR="00113B3D">
        <w:rPr>
          <w:rFonts w:ascii="Arial" w:eastAsia="Times New Roman" w:hAnsi="Arial" w:cs="Arial"/>
          <w:sz w:val="24"/>
          <w:szCs w:val="24"/>
          <w:lang w:eastAsia="pt-BR"/>
        </w:rPr>
        <w:t>o “efeito</w:t>
      </w:r>
      <w:r w:rsidR="00394AB1">
        <w:rPr>
          <w:rFonts w:ascii="Arial" w:eastAsia="Times New Roman" w:hAnsi="Arial" w:cs="Arial"/>
          <w:sz w:val="24"/>
          <w:szCs w:val="24"/>
          <w:lang w:eastAsia="pt-BR"/>
        </w:rPr>
        <w:t xml:space="preserve"> certeza</w:t>
      </w:r>
      <w:r w:rsidR="00113B3D">
        <w:rPr>
          <w:rFonts w:ascii="Arial" w:eastAsia="Times New Roman" w:hAnsi="Arial" w:cs="Arial"/>
          <w:sz w:val="24"/>
          <w:szCs w:val="24"/>
          <w:lang w:eastAsia="pt-BR"/>
        </w:rPr>
        <w:t>”</w:t>
      </w:r>
      <w:r w:rsidR="00394AB1">
        <w:rPr>
          <w:rFonts w:ascii="Arial" w:eastAsia="Times New Roman" w:hAnsi="Arial" w:cs="Arial"/>
          <w:sz w:val="24"/>
          <w:szCs w:val="24"/>
          <w:lang w:eastAsia="pt-BR"/>
        </w:rPr>
        <w:t xml:space="preserve"> mesmo que o risco seja baixo em relação ao ganho, mas também mostrou que quando se trata de perda, um risco baixo para minimiza-las é mais comumente aceito, 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>demonstra que a racionalidade humana é limitada e que as decisões são fortemente influenciadas por fatores emocionais.</w:t>
      </w:r>
    </w:p>
    <w:p w14:paraId="0F694A39" w14:textId="05B68127" w:rsidR="00CA3321" w:rsidRPr="00CA3321" w:rsidRDefault="00394AB1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Levando</w:t>
      </w:r>
      <w:r w:rsidR="00CA3321"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 es</w:t>
      </w:r>
      <w:r>
        <w:rPr>
          <w:rFonts w:ascii="Arial" w:eastAsia="Times New Roman" w:hAnsi="Arial" w:cs="Arial"/>
          <w:sz w:val="24"/>
          <w:szCs w:val="24"/>
          <w:lang w:eastAsia="pt-BR"/>
        </w:rPr>
        <w:t>t</w:t>
      </w:r>
      <w:r w:rsidR="00CA3321"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e conceito para o ambiente organizacional, observa-se que gestores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com 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>ave</w:t>
      </w:r>
      <w:r>
        <w:rPr>
          <w:rFonts w:ascii="Arial" w:eastAsia="Times New Roman" w:hAnsi="Arial" w:cs="Arial"/>
          <w:sz w:val="24"/>
          <w:szCs w:val="24"/>
          <w:lang w:eastAsia="pt-BR"/>
        </w:rPr>
        <w:t>rsão</w:t>
      </w:r>
      <w:r w:rsidR="00CA3321"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 ao risco frequentemente optam por estratégias conservadoras, priorizando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sempre a </w:t>
      </w:r>
      <w:r w:rsidR="00CA3321"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previsibilidade. Em contrapartida, líderes </w:t>
      </w:r>
      <w:r w:rsidR="00CA3321" w:rsidRPr="00CA3321">
        <w:rPr>
          <w:rFonts w:ascii="Arial" w:eastAsia="Times New Roman" w:hAnsi="Arial" w:cs="Arial"/>
          <w:sz w:val="24"/>
          <w:szCs w:val="24"/>
          <w:lang w:eastAsia="pt-BR"/>
        </w:rPr>
        <w:lastRenderedPageBreak/>
        <w:t>com maior tolerância à incerteza são mais propensos a adotar medidas inovadoras, explorando novas oportunidades de mercado e tecnologias emergentes.</w:t>
      </w:r>
    </w:p>
    <w:p w14:paraId="55512594" w14:textId="77777777" w:rsidR="00CA3321" w:rsidRPr="00CA3321" w:rsidRDefault="00CA3321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t>Nesse contexto, compreender a relação entre a aversão ao risco e a inovação é essencial para entender o comportamento das organizações frente aos desafios da competitividade global. Este trabalho tem como objetivo analisar como a aversão ao risco dos gestores influencia os processos de inovação e o crescimento empresarial, considerando o impacto de diferentes perfis gerenciais e contextos organizacionais.</w:t>
      </w:r>
    </w:p>
    <w:p w14:paraId="251B7370" w14:textId="3052584A" w:rsidR="00CA3321" w:rsidRPr="00CA3321" w:rsidRDefault="00CA3321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Para alcançar esse objetivo, a pesquisa adota uma abordagem qualitativa, de natureza teórica, fundamentada em revisão bibliográfica. São utilizados como referenciais os trabalhos de </w:t>
      </w:r>
      <w:r w:rsidRPr="00CA332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Kahneman e </w:t>
      </w:r>
      <w:proofErr w:type="spellStart"/>
      <w:r w:rsidRPr="00CA332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Tversky</w:t>
      </w:r>
      <w:proofErr w:type="spellEnd"/>
      <w:r w:rsidRPr="00CA332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(1979)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Pr="00CA332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Fagundes, </w:t>
      </w:r>
      <w:proofErr w:type="spellStart"/>
      <w:r w:rsidRPr="00CA332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Schnorrenberger</w:t>
      </w:r>
      <w:proofErr w:type="spellEnd"/>
      <w:r w:rsidRPr="00CA332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e </w:t>
      </w:r>
      <w:proofErr w:type="spellStart"/>
      <w:r w:rsidRPr="00CA332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Lunkes</w:t>
      </w:r>
      <w:proofErr w:type="spellEnd"/>
      <w:r w:rsidRPr="00CA332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(2019)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CA332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Meroño-Cerdán</w:t>
      </w:r>
      <w:proofErr w:type="spellEnd"/>
      <w:r w:rsidRPr="00CA332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, López-Nicolás e Molina-Castillo (2017)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CA332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Tidd</w:t>
      </w:r>
      <w:proofErr w:type="spellEnd"/>
      <w:r w:rsidRPr="00CA332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, </w:t>
      </w:r>
      <w:proofErr w:type="spellStart"/>
      <w:r w:rsidRPr="00CA332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Bessant</w:t>
      </w:r>
      <w:proofErr w:type="spellEnd"/>
      <w:r w:rsidRPr="00CA332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e </w:t>
      </w:r>
      <w:proofErr w:type="spellStart"/>
      <w:r w:rsidRPr="00CA332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Pavitt</w:t>
      </w:r>
      <w:proofErr w:type="spellEnd"/>
      <w:r w:rsidRPr="00CA332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(2008)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 e </w:t>
      </w:r>
      <w:proofErr w:type="spellStart"/>
      <w:r w:rsidRPr="00CA332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Teece</w:t>
      </w:r>
      <w:proofErr w:type="spellEnd"/>
      <w:r w:rsidRPr="00CA332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(2010)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, cujas contribuições teóricas oferecem </w:t>
      </w:r>
      <w:r w:rsidR="00BC3839">
        <w:rPr>
          <w:rFonts w:ascii="Arial" w:eastAsia="Times New Roman" w:hAnsi="Arial" w:cs="Arial"/>
          <w:sz w:val="24"/>
          <w:szCs w:val="24"/>
          <w:lang w:eastAsia="pt-BR"/>
        </w:rPr>
        <w:t>informações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 para compreender a complexa relação entre risco e inovação.</w:t>
      </w:r>
    </w:p>
    <w:p w14:paraId="29284CE8" w14:textId="6F28D744" w:rsidR="00CA3321" w:rsidRPr="00CA3321" w:rsidRDefault="00394AB1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Neste trabalho</w:t>
      </w:r>
      <w:r w:rsidR="00CA3321"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 são apresentados exemplos de empresas reais, como, </w:t>
      </w:r>
      <w:r w:rsidR="00BC3839">
        <w:rPr>
          <w:rFonts w:ascii="Arial" w:eastAsia="Times New Roman" w:hAnsi="Arial" w:cs="Arial"/>
          <w:sz w:val="24"/>
          <w:szCs w:val="24"/>
          <w:lang w:eastAsia="pt-BR"/>
        </w:rPr>
        <w:t xml:space="preserve">Tesla, </w:t>
      </w:r>
      <w:r w:rsidR="00CA3321" w:rsidRPr="00394AB1">
        <w:rPr>
          <w:rFonts w:ascii="Arial" w:eastAsia="Times New Roman" w:hAnsi="Arial" w:cs="Arial"/>
          <w:sz w:val="24"/>
          <w:szCs w:val="24"/>
          <w:lang w:eastAsia="pt-BR"/>
        </w:rPr>
        <w:t>Natura</w:t>
      </w:r>
      <w:r w:rsidR="00113B3D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CB1A17">
        <w:rPr>
          <w:rFonts w:ascii="Arial" w:eastAsia="Times New Roman" w:hAnsi="Arial" w:cs="Arial"/>
          <w:sz w:val="24"/>
          <w:szCs w:val="24"/>
          <w:lang w:eastAsia="pt-BR"/>
        </w:rPr>
        <w:t>Magazine Luiza</w:t>
      </w:r>
      <w:r w:rsidR="00113B3D">
        <w:rPr>
          <w:rFonts w:ascii="Arial" w:eastAsia="Times New Roman" w:hAnsi="Arial" w:cs="Arial"/>
          <w:sz w:val="24"/>
          <w:szCs w:val="24"/>
          <w:lang w:eastAsia="pt-BR"/>
        </w:rPr>
        <w:t xml:space="preserve"> e</w:t>
      </w:r>
      <w:r w:rsidR="00113B3D" w:rsidRPr="00113B3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13B3D" w:rsidRPr="00394AB1">
        <w:rPr>
          <w:rFonts w:ascii="Arial" w:eastAsia="Times New Roman" w:hAnsi="Arial" w:cs="Arial"/>
          <w:sz w:val="24"/>
          <w:szCs w:val="24"/>
          <w:lang w:eastAsia="pt-BR"/>
        </w:rPr>
        <w:t>Embraer</w:t>
      </w:r>
      <w:r w:rsidR="00CA3321"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sendo escolhidas </w:t>
      </w:r>
      <w:r w:rsidR="00113B3D">
        <w:rPr>
          <w:rFonts w:ascii="Arial" w:eastAsia="Times New Roman" w:hAnsi="Arial" w:cs="Arial"/>
          <w:sz w:val="24"/>
          <w:szCs w:val="24"/>
          <w:lang w:eastAsia="pt-BR"/>
        </w:rPr>
        <w:t xml:space="preserve">para variação de perfis, áreas de risco em </w:t>
      </w:r>
      <w:r w:rsidRPr="00113B3D">
        <w:rPr>
          <w:rFonts w:ascii="Arial" w:eastAsia="Times New Roman" w:hAnsi="Arial" w:cs="Arial"/>
          <w:sz w:val="24"/>
          <w:szCs w:val="24"/>
          <w:lang w:eastAsia="pt-BR"/>
        </w:rPr>
        <w:t>diferentes tipos de inovação (sustentável, digital, tecnológica de alta complexidade)</w:t>
      </w:r>
      <w:r w:rsidR="00113B3D" w:rsidRPr="00113B3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A3321" w:rsidRPr="00CA3321">
        <w:rPr>
          <w:rFonts w:ascii="Arial" w:eastAsia="Times New Roman" w:hAnsi="Arial" w:cs="Arial"/>
          <w:sz w:val="24"/>
          <w:szCs w:val="24"/>
          <w:lang w:eastAsia="pt-BR"/>
        </w:rPr>
        <w:t>que representam diferentes formas de lidar com o risco em seus processos de inovação. Essas organizações demonstram que a gestão do risco é tanto um desafio quanto uma oportunidade, dependendo da postura adotada pela liderança.</w:t>
      </w:r>
    </w:p>
    <w:p w14:paraId="0A1B231F" w14:textId="77777777" w:rsidR="00CA3321" w:rsidRPr="00CA3321" w:rsidRDefault="00CA3321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t>Dessa forma, o presente trabalho busca contribuir para o campo da administração ao oferecer uma análise teórica e prática sobre como o perfil do gestor pode influenciar a capacidade inovadora e o desempenho organizacional.</w:t>
      </w:r>
    </w:p>
    <w:p w14:paraId="4E1F10A3" w14:textId="77777777" w:rsidR="00CA3321" w:rsidRPr="00CA3321" w:rsidRDefault="007B41D2" w:rsidP="00930AE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pict w14:anchorId="0BD6522B">
          <v:rect id="_x0000_i1027" style="width:0;height:1.5pt" o:hralign="center" o:hrstd="t" o:hr="t" fillcolor="#a0a0a0" stroked="f"/>
        </w:pict>
      </w:r>
    </w:p>
    <w:p w14:paraId="18CE15C8" w14:textId="6A73C57D" w:rsidR="00CA3321" w:rsidRPr="00CA3321" w:rsidRDefault="003147F5" w:rsidP="00930AE5">
      <w:pPr>
        <w:spacing w:before="100" w:beforeAutospacing="1" w:after="100" w:afterAutospacing="1" w:line="360" w:lineRule="auto"/>
        <w:jc w:val="both"/>
        <w:outlineLvl w:val="1"/>
        <w:rPr>
          <w:rFonts w:ascii="Arial" w:eastAsia="Times New Roman" w:hAnsi="Arial" w:cs="Arial"/>
          <w:b/>
          <w:bCs/>
          <w:sz w:val="36"/>
          <w:szCs w:val="36"/>
          <w:lang w:eastAsia="pt-BR"/>
        </w:rPr>
      </w:pPr>
      <w:r>
        <w:rPr>
          <w:rFonts w:ascii="Arial" w:eastAsia="Times New Roman" w:hAnsi="Arial" w:cs="Arial"/>
          <w:b/>
          <w:bCs/>
          <w:sz w:val="36"/>
          <w:szCs w:val="36"/>
          <w:lang w:eastAsia="pt-BR"/>
        </w:rPr>
        <w:t>2</w:t>
      </w:r>
      <w:r w:rsidR="00CA3321" w:rsidRPr="00CA3321">
        <w:rPr>
          <w:rFonts w:ascii="Arial" w:eastAsia="Times New Roman" w:hAnsi="Arial" w:cs="Arial"/>
          <w:b/>
          <w:bCs/>
          <w:sz w:val="36"/>
          <w:szCs w:val="36"/>
          <w:lang w:eastAsia="pt-BR"/>
        </w:rPr>
        <w:t>. REFERENCIAL TEÓRICO</w:t>
      </w:r>
    </w:p>
    <w:p w14:paraId="352667F5" w14:textId="77777777" w:rsidR="00CA3321" w:rsidRPr="00CA3321" w:rsidRDefault="00CA3321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lastRenderedPageBreak/>
        <w:t>A inovação e a aversão ao risco são conceitos amplamente estudados nas ciências econômicas, psicológicas e administrativas. A seguir, são discutidos os principais fundamentos teóricos que sustentam essa relação, divididos em quatro eixos: (1) a teoria da decisão sob risco; (2) o comportamento gerencial; (3) a gestão da inovação; e (4) os modelos de negócio e crescimento organizacional.</w:t>
      </w:r>
    </w:p>
    <w:p w14:paraId="1D6EF4BA" w14:textId="77777777" w:rsidR="00CA3321" w:rsidRPr="00CA3321" w:rsidRDefault="007B41D2" w:rsidP="00930AE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pict w14:anchorId="381AF17F">
          <v:rect id="_x0000_i1028" style="width:0;height:1.5pt" o:hralign="center" o:hrstd="t" o:hr="t" fillcolor="#a0a0a0" stroked="f"/>
        </w:pict>
      </w:r>
    </w:p>
    <w:p w14:paraId="44AF4B6D" w14:textId="77777777" w:rsidR="00CA3321" w:rsidRPr="00CA3321" w:rsidRDefault="00CA3321" w:rsidP="00930AE5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sz w:val="27"/>
          <w:szCs w:val="27"/>
          <w:lang w:eastAsia="pt-BR"/>
        </w:rPr>
      </w:pPr>
      <w:r w:rsidRPr="00CA3321">
        <w:rPr>
          <w:rFonts w:ascii="Arial" w:eastAsia="Times New Roman" w:hAnsi="Arial" w:cs="Arial"/>
          <w:b/>
          <w:bCs/>
          <w:sz w:val="27"/>
          <w:szCs w:val="27"/>
          <w:lang w:eastAsia="pt-BR"/>
        </w:rPr>
        <w:t>2.1 Aversão ao risco e teoria da decisão</w:t>
      </w:r>
    </w:p>
    <w:p w14:paraId="13ED75DC" w14:textId="77777777" w:rsidR="00CA3321" w:rsidRPr="00CA3321" w:rsidRDefault="00CA3321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A </w:t>
      </w:r>
      <w:r w:rsidRPr="00CA3321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Teoria da Perspectiva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, proposta por </w:t>
      </w:r>
      <w:r w:rsidRPr="00CA332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Kahneman e </w:t>
      </w:r>
      <w:proofErr w:type="spellStart"/>
      <w:r w:rsidRPr="00CA332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Tversky</w:t>
      </w:r>
      <w:proofErr w:type="spellEnd"/>
      <w:r w:rsidRPr="00CA332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(1979)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>, revolucionou a forma como a economia e a psicologia compreendem as decisões sob risco. Diferente do modelo econômico tradicional, que assume que os indivíduos agem de forma racional para maximizar utilidades, a teoria demonstra que as decisões são influenciadas por vieses cognitivos e emocionais.</w:t>
      </w:r>
    </w:p>
    <w:p w14:paraId="17CF238F" w14:textId="77777777" w:rsidR="00CA3321" w:rsidRPr="00CA3321" w:rsidRDefault="00CA3321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t>Segundo os autores, os indivíduos tendem a superestimar perdas e subestimar ganhos, o que os torna naturalmente avessos ao risco. Esse comportamento é explicado pelo fato de que as perdas geram um impacto emocional mais intenso do que o prazer proporcionado por ganhos de mesma magnitude. Assim, o ser humano prefere evitar perdas, mesmo que isso implique abrir mão de possíveis benefícios.</w:t>
      </w:r>
    </w:p>
    <w:p w14:paraId="0093E5FE" w14:textId="77777777" w:rsidR="00CA3321" w:rsidRPr="00CA3321" w:rsidRDefault="00CA3321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t>Nas organizações, essa tendência manifesta-se nas decisões estratégicas, financeiras e operacionais. Gestores avessos ao risco tendem a adiar investimentos inovadores, preferindo aplicar recursos em áreas conhecidas e de retorno previsível. Em contrapartida, gestores mais tolerantes ao risco percebem as incertezas como oportunidades de crescimento e diferenciação competitiva.</w:t>
      </w:r>
    </w:p>
    <w:p w14:paraId="44EAE7DD" w14:textId="77777777" w:rsidR="00CA3321" w:rsidRPr="00CA3321" w:rsidRDefault="00CA3321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Essa dinâmica pode ser observada, por exemplo, nas diferenças entre empresas tradicionais e empresas de base tecnológica. Enquanto corporações mais antigas e consolidadas costumam adotar uma postura cautelosa, startups 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lastRenderedPageBreak/>
        <w:t>e empresas inovadoras assumem riscos calculados para explorar nichos de mercado e desenvolver soluções disruptivas.</w:t>
      </w:r>
    </w:p>
    <w:p w14:paraId="02CDD1AC" w14:textId="77777777" w:rsidR="00CA3321" w:rsidRPr="00CA3321" w:rsidRDefault="007B41D2" w:rsidP="00930AE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pict w14:anchorId="7CAF5F9D">
          <v:rect id="_x0000_i1029" style="width:0;height:1.5pt" o:hralign="center" o:hrstd="t" o:hr="t" fillcolor="#a0a0a0" stroked="f"/>
        </w:pict>
      </w:r>
    </w:p>
    <w:p w14:paraId="2CF15DE5" w14:textId="77777777" w:rsidR="00CA3321" w:rsidRPr="00CA3321" w:rsidRDefault="00CA3321" w:rsidP="00930AE5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sz w:val="27"/>
          <w:szCs w:val="27"/>
          <w:lang w:eastAsia="pt-BR"/>
        </w:rPr>
      </w:pPr>
      <w:r w:rsidRPr="00CA3321">
        <w:rPr>
          <w:rFonts w:ascii="Arial" w:eastAsia="Times New Roman" w:hAnsi="Arial" w:cs="Arial"/>
          <w:b/>
          <w:bCs/>
          <w:sz w:val="27"/>
          <w:szCs w:val="27"/>
          <w:lang w:eastAsia="pt-BR"/>
        </w:rPr>
        <w:t>2.2 Aversão ao risco e comportamento gerencial</w:t>
      </w:r>
    </w:p>
    <w:p w14:paraId="42ABECB1" w14:textId="77777777" w:rsidR="00CA3321" w:rsidRPr="00CA3321" w:rsidRDefault="00CA3321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O comportamento gerencial é fortemente influenciado por fatores psicológicos, culturais e institucionais. </w:t>
      </w:r>
      <w:r w:rsidRPr="00CA332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Fagundes, </w:t>
      </w:r>
      <w:proofErr w:type="spellStart"/>
      <w:r w:rsidRPr="00CA332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Schnorrenberger</w:t>
      </w:r>
      <w:proofErr w:type="spellEnd"/>
      <w:r w:rsidRPr="00CA332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e </w:t>
      </w:r>
      <w:proofErr w:type="spellStart"/>
      <w:r w:rsidRPr="00CA332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Lunkes</w:t>
      </w:r>
      <w:proofErr w:type="spellEnd"/>
      <w:r w:rsidRPr="00CA332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(2019)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 destacam que a aversão ao risco é um traço presente em diferentes níveis de gestão, variando de acordo com a cultura organizacional e o ambiente competitivo.</w:t>
      </w:r>
    </w:p>
    <w:p w14:paraId="58A40C41" w14:textId="156499E6" w:rsidR="00CA3321" w:rsidRPr="00CA3321" w:rsidRDefault="00CA3321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t>Em empresas com estruturas hierárquicas rígidas, o medo do erro e a busca por estabilidade limitam a inovação. Em con</w:t>
      </w:r>
      <w:r w:rsidR="00EA5812">
        <w:rPr>
          <w:rFonts w:ascii="Arial" w:eastAsia="Times New Roman" w:hAnsi="Arial" w:cs="Arial"/>
          <w:sz w:val="24"/>
          <w:szCs w:val="24"/>
          <w:lang w:eastAsia="pt-BR"/>
        </w:rPr>
        <w:t>textos de instabilidade no mercado brasileiro devido a conflitos políticos internos e externo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EA5812">
        <w:rPr>
          <w:rFonts w:ascii="Arial" w:eastAsia="Times New Roman" w:hAnsi="Arial" w:cs="Arial"/>
          <w:sz w:val="24"/>
          <w:szCs w:val="24"/>
          <w:lang w:eastAsia="pt-BR"/>
        </w:rPr>
        <w:t xml:space="preserve">resultam no receio das 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>organizações</w:t>
      </w:r>
      <w:r w:rsidR="00EA5812">
        <w:rPr>
          <w:rFonts w:ascii="Arial" w:eastAsia="Times New Roman" w:hAnsi="Arial" w:cs="Arial"/>
          <w:sz w:val="24"/>
          <w:szCs w:val="24"/>
          <w:lang w:eastAsia="pt-BR"/>
        </w:rPr>
        <w:t xml:space="preserve"> em investimentos sem uma garantia de retorno imediato.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14:paraId="2876FE2B" w14:textId="1A456BFE" w:rsidR="00CA3321" w:rsidRPr="00CA3321" w:rsidRDefault="00EA5812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Entretanto o</w:t>
      </w:r>
      <w:r w:rsidR="00CA3321"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 gestor desempenha um papel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de </w:t>
      </w:r>
      <w:r w:rsidR="00CA3321" w:rsidRPr="00CA3321">
        <w:rPr>
          <w:rFonts w:ascii="Arial" w:eastAsia="Times New Roman" w:hAnsi="Arial" w:cs="Arial"/>
          <w:sz w:val="24"/>
          <w:szCs w:val="24"/>
          <w:lang w:eastAsia="pt-BR"/>
        </w:rPr>
        <w:t>agente de transformação dessa cultura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organizacional, visto que s</w:t>
      </w:r>
      <w:r w:rsidR="00CA3321" w:rsidRPr="00CA3321">
        <w:rPr>
          <w:rFonts w:ascii="Arial" w:eastAsia="Times New Roman" w:hAnsi="Arial" w:cs="Arial"/>
          <w:sz w:val="24"/>
          <w:szCs w:val="24"/>
          <w:lang w:eastAsia="pt-BR"/>
        </w:rPr>
        <w:t>ua postura diante do risco pode reforçar o conservadorismo ou impulsionar a criatividade e o aprendizado coletivo</w:t>
      </w:r>
      <w:r>
        <w:rPr>
          <w:rFonts w:ascii="Arial" w:eastAsia="Times New Roman" w:hAnsi="Arial" w:cs="Arial"/>
          <w:sz w:val="24"/>
          <w:szCs w:val="24"/>
          <w:lang w:eastAsia="pt-BR"/>
        </w:rPr>
        <w:t>, o tornando um líder mais preparado para mudanças</w:t>
      </w:r>
      <w:r w:rsidR="00CA3321" w:rsidRPr="00CA3321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39F52548" w14:textId="0CA40B68" w:rsidR="00FC44F7" w:rsidRPr="00CA3321" w:rsidRDefault="00CA3321" w:rsidP="00FC44F7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t>Desse modo, o comportamento do gestor diante do risco é um fator determinante para o sucesso organizacional</w:t>
      </w:r>
      <w:r w:rsidR="006D3F6F">
        <w:rPr>
          <w:rFonts w:ascii="Arial" w:eastAsia="Times New Roman" w:hAnsi="Arial" w:cs="Arial"/>
          <w:sz w:val="24"/>
          <w:szCs w:val="24"/>
          <w:lang w:eastAsia="pt-BR"/>
        </w:rPr>
        <w:t>, l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>ideranças que compreendem o risco como parte natural do processo de inovação são mais propensas a desenvolver estratégias adaptativas e competitivas.</w:t>
      </w:r>
    </w:p>
    <w:p w14:paraId="7EEF69DC" w14:textId="77777777" w:rsidR="00CA3321" w:rsidRPr="00CA3321" w:rsidRDefault="007B41D2" w:rsidP="00930AE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pict w14:anchorId="6EF3F900">
          <v:rect id="_x0000_i1030" style="width:0;height:1.5pt" o:hralign="center" o:hrstd="t" o:hr="t" fillcolor="#a0a0a0" stroked="f"/>
        </w:pict>
      </w:r>
    </w:p>
    <w:p w14:paraId="41BD0A3E" w14:textId="77777777" w:rsidR="00CA3321" w:rsidRPr="00CA3321" w:rsidRDefault="00CA3321" w:rsidP="00930AE5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sz w:val="27"/>
          <w:szCs w:val="27"/>
          <w:lang w:eastAsia="pt-BR"/>
        </w:rPr>
      </w:pPr>
      <w:r w:rsidRPr="00CA3321">
        <w:rPr>
          <w:rFonts w:ascii="Arial" w:eastAsia="Times New Roman" w:hAnsi="Arial" w:cs="Arial"/>
          <w:b/>
          <w:bCs/>
          <w:sz w:val="27"/>
          <w:szCs w:val="27"/>
          <w:lang w:eastAsia="pt-BR"/>
        </w:rPr>
        <w:t>2.3 Inovação e gestão organizacional</w:t>
      </w:r>
    </w:p>
    <w:p w14:paraId="0C3EC6F7" w14:textId="27D268B9" w:rsidR="00CA3321" w:rsidRPr="00CA3321" w:rsidRDefault="00CA3321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Para </w:t>
      </w:r>
      <w:proofErr w:type="spellStart"/>
      <w:r w:rsidRPr="006A50F7">
        <w:rPr>
          <w:rFonts w:ascii="Arial" w:eastAsia="Times New Roman" w:hAnsi="Arial" w:cs="Arial"/>
          <w:sz w:val="24"/>
          <w:szCs w:val="24"/>
          <w:lang w:eastAsia="pt-BR"/>
        </w:rPr>
        <w:t>Tidd</w:t>
      </w:r>
      <w:proofErr w:type="spellEnd"/>
      <w:r w:rsidRPr="006A50F7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6A50F7">
        <w:rPr>
          <w:rFonts w:ascii="Arial" w:eastAsia="Times New Roman" w:hAnsi="Arial" w:cs="Arial"/>
          <w:sz w:val="24"/>
          <w:szCs w:val="24"/>
          <w:lang w:eastAsia="pt-BR"/>
        </w:rPr>
        <w:t>Bessant</w:t>
      </w:r>
      <w:proofErr w:type="spellEnd"/>
      <w:r w:rsidRPr="006A50F7">
        <w:rPr>
          <w:rFonts w:ascii="Arial" w:eastAsia="Times New Roman" w:hAnsi="Arial" w:cs="Arial"/>
          <w:sz w:val="24"/>
          <w:szCs w:val="24"/>
          <w:lang w:eastAsia="pt-BR"/>
        </w:rPr>
        <w:t xml:space="preserve"> e </w:t>
      </w:r>
      <w:proofErr w:type="spellStart"/>
      <w:r w:rsidRPr="006A50F7">
        <w:rPr>
          <w:rFonts w:ascii="Arial" w:eastAsia="Times New Roman" w:hAnsi="Arial" w:cs="Arial"/>
          <w:sz w:val="24"/>
          <w:szCs w:val="24"/>
          <w:lang w:eastAsia="pt-BR"/>
        </w:rPr>
        <w:t>Pavitt</w:t>
      </w:r>
      <w:proofErr w:type="spellEnd"/>
      <w:r w:rsidRPr="006A50F7">
        <w:rPr>
          <w:rFonts w:ascii="Arial" w:eastAsia="Times New Roman" w:hAnsi="Arial" w:cs="Arial"/>
          <w:sz w:val="24"/>
          <w:szCs w:val="24"/>
          <w:lang w:eastAsia="pt-BR"/>
        </w:rPr>
        <w:t xml:space="preserve"> (2008)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, a inovação deve ser entendida como um processo </w:t>
      </w:r>
      <w:r w:rsidR="006D3F6F">
        <w:rPr>
          <w:rFonts w:ascii="Arial" w:eastAsia="Times New Roman" w:hAnsi="Arial" w:cs="Arial"/>
          <w:sz w:val="24"/>
          <w:szCs w:val="24"/>
          <w:lang w:eastAsia="pt-BR"/>
        </w:rPr>
        <w:t xml:space="preserve">constante e 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sistêmico que envolve diferentes </w:t>
      </w:r>
      <w:r w:rsidR="006D3F6F" w:rsidRPr="00CA3321">
        <w:rPr>
          <w:rFonts w:ascii="Arial" w:eastAsia="Times New Roman" w:hAnsi="Arial" w:cs="Arial"/>
          <w:sz w:val="24"/>
          <w:szCs w:val="24"/>
          <w:lang w:eastAsia="pt-BR"/>
        </w:rPr>
        <w:t>dimensões tecnológicas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>, organizaciona</w:t>
      </w:r>
      <w:r w:rsidR="006D3F6F">
        <w:rPr>
          <w:rFonts w:ascii="Arial" w:eastAsia="Times New Roman" w:hAnsi="Arial" w:cs="Arial"/>
          <w:sz w:val="24"/>
          <w:szCs w:val="24"/>
          <w:lang w:eastAsia="pt-BR"/>
        </w:rPr>
        <w:t>is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 e socia</w:t>
      </w:r>
      <w:r w:rsidR="006D3F6F">
        <w:rPr>
          <w:rFonts w:ascii="Arial" w:eastAsia="Times New Roman" w:hAnsi="Arial" w:cs="Arial"/>
          <w:sz w:val="24"/>
          <w:szCs w:val="24"/>
          <w:lang w:eastAsia="pt-BR"/>
        </w:rPr>
        <w:t>is, n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>ão se trata</w:t>
      </w:r>
      <w:r w:rsidR="006D3F6F">
        <w:rPr>
          <w:rFonts w:ascii="Arial" w:eastAsia="Times New Roman" w:hAnsi="Arial" w:cs="Arial"/>
          <w:sz w:val="24"/>
          <w:szCs w:val="24"/>
          <w:lang w:eastAsia="pt-BR"/>
        </w:rPr>
        <w:t>ndo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 apenas de criar novos 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lastRenderedPageBreak/>
        <w:t>produtos, mas de implementar mudanças que agreguem valor à organização e à sociedade</w:t>
      </w:r>
      <w:r w:rsidR="006D3F6F">
        <w:rPr>
          <w:rFonts w:ascii="Arial" w:eastAsia="Times New Roman" w:hAnsi="Arial" w:cs="Arial"/>
          <w:sz w:val="24"/>
          <w:szCs w:val="24"/>
          <w:lang w:eastAsia="pt-BR"/>
        </w:rPr>
        <w:t>, tendo um resultado benéfico na imagem da empresa no mercado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5F63AE6C" w14:textId="103B42B6" w:rsidR="00CA3321" w:rsidRPr="00CA3321" w:rsidRDefault="006D3F6F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CA3321"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 inovação requer a presença de um ambiente organizacional favorável. Empresas excessivamente avessas ao risco tendem a reprimir ideias criativas e a priorizar </w:t>
      </w:r>
      <w:r>
        <w:rPr>
          <w:rFonts w:ascii="Arial" w:eastAsia="Times New Roman" w:hAnsi="Arial" w:cs="Arial"/>
          <w:sz w:val="24"/>
          <w:szCs w:val="24"/>
          <w:lang w:eastAsia="pt-BR"/>
        </w:rPr>
        <w:t>a execução dos processos da forma pré-estabelecida.</w:t>
      </w:r>
      <w:r w:rsidR="00CA3321"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 Isso compromete sua capacidade de adaptação às mudanças do mercado e reduz sua competitividade a longo prazo.</w:t>
      </w:r>
    </w:p>
    <w:p w14:paraId="0E274406" w14:textId="3DBB472B" w:rsidR="00CA3321" w:rsidRPr="00CA3321" w:rsidRDefault="00CA3321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A </w:t>
      </w:r>
      <w:r w:rsidRPr="00CA332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Natura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091A5D">
        <w:rPr>
          <w:rFonts w:ascii="Arial" w:eastAsia="Times New Roman" w:hAnsi="Arial" w:cs="Arial"/>
          <w:sz w:val="24"/>
          <w:szCs w:val="24"/>
          <w:lang w:eastAsia="pt-BR"/>
        </w:rPr>
        <w:t>é uma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 empresa que </w:t>
      </w:r>
      <w:r w:rsidR="00091A5D">
        <w:rPr>
          <w:rFonts w:ascii="Arial" w:eastAsia="Times New Roman" w:hAnsi="Arial" w:cs="Arial"/>
          <w:sz w:val="24"/>
          <w:szCs w:val="24"/>
          <w:lang w:eastAsia="pt-BR"/>
        </w:rPr>
        <w:t xml:space="preserve">investe desde os anos 2000 no âmbito de </w:t>
      </w:r>
      <w:r w:rsidR="00091A5D" w:rsidRPr="00CA3321">
        <w:rPr>
          <w:rFonts w:ascii="Arial" w:eastAsia="Times New Roman" w:hAnsi="Arial" w:cs="Arial"/>
          <w:sz w:val="24"/>
          <w:szCs w:val="24"/>
          <w:lang w:eastAsia="pt-BR"/>
        </w:rPr>
        <w:t>responsabilidade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 socioambiental e inovação</w:t>
      </w:r>
      <w:r w:rsidR="00091A5D">
        <w:rPr>
          <w:rFonts w:ascii="Arial" w:eastAsia="Times New Roman" w:hAnsi="Arial" w:cs="Arial"/>
          <w:sz w:val="24"/>
          <w:szCs w:val="24"/>
          <w:lang w:eastAsia="pt-BR"/>
        </w:rPr>
        <w:t>, utilizando de parcerias locais e ativos relacionados a biodiversidade situada na Amazonia, como a</w:t>
      </w:r>
      <w:r w:rsidR="00091A5D" w:rsidRPr="00091A5D">
        <w:rPr>
          <w:rFonts w:ascii="Arial" w:eastAsia="Times New Roman" w:hAnsi="Arial" w:cs="Arial"/>
          <w:sz w:val="24"/>
          <w:szCs w:val="24"/>
          <w:lang w:eastAsia="pt-BR"/>
        </w:rPr>
        <w:t xml:space="preserve"> linha </w:t>
      </w:r>
      <w:proofErr w:type="spellStart"/>
      <w:r w:rsidR="00091A5D" w:rsidRPr="00091A5D">
        <w:rPr>
          <w:rFonts w:ascii="Arial" w:eastAsia="Times New Roman" w:hAnsi="Arial" w:cs="Arial"/>
          <w:sz w:val="24"/>
          <w:szCs w:val="24"/>
          <w:lang w:eastAsia="pt-BR"/>
        </w:rPr>
        <w:t>Ekos</w:t>
      </w:r>
      <w:proofErr w:type="spellEnd"/>
      <w:r w:rsidR="00091A5D" w:rsidRPr="00091A5D">
        <w:rPr>
          <w:rFonts w:ascii="Arial" w:eastAsia="Times New Roman" w:hAnsi="Arial" w:cs="Arial"/>
          <w:sz w:val="24"/>
          <w:szCs w:val="24"/>
          <w:lang w:eastAsia="pt-BR"/>
        </w:rPr>
        <w:t xml:space="preserve"> simboliza essa estratégia ao transformar conhecimento tradicional em produtos de alto valor</w:t>
      </w:r>
      <w:r w:rsidR="00091A5D">
        <w:rPr>
          <w:rFonts w:ascii="Arial" w:eastAsia="Times New Roman" w:hAnsi="Arial" w:cs="Arial"/>
          <w:sz w:val="24"/>
          <w:szCs w:val="24"/>
          <w:lang w:eastAsia="pt-BR"/>
        </w:rPr>
        <w:t>, resultando em produtos difíceis de serem reproduzidos pela concorrência, expansão no mercado externo e valorização da marca.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091A5D">
        <w:rPr>
          <w:rFonts w:ascii="Arial" w:eastAsia="Times New Roman" w:hAnsi="Arial" w:cs="Arial"/>
          <w:sz w:val="24"/>
          <w:szCs w:val="24"/>
          <w:lang w:eastAsia="pt-BR"/>
        </w:rPr>
        <w:t xml:space="preserve">Os 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>gestores adotam uma pos</w:t>
      </w:r>
      <w:r w:rsidR="00091A5D">
        <w:rPr>
          <w:rFonts w:ascii="Arial" w:eastAsia="Times New Roman" w:hAnsi="Arial" w:cs="Arial"/>
          <w:sz w:val="24"/>
          <w:szCs w:val="24"/>
          <w:lang w:eastAsia="pt-BR"/>
        </w:rPr>
        <w:t>tura de risco controlado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091A5D" w:rsidRPr="00091A5D">
        <w:rPr>
          <w:rFonts w:ascii="Arial" w:eastAsia="Times New Roman" w:hAnsi="Arial" w:cs="Arial"/>
          <w:sz w:val="24"/>
          <w:szCs w:val="24"/>
          <w:lang w:eastAsia="pt-BR"/>
        </w:rPr>
        <w:t>equilibra</w:t>
      </w:r>
      <w:r w:rsidR="00091A5D">
        <w:rPr>
          <w:rFonts w:ascii="Arial" w:eastAsia="Times New Roman" w:hAnsi="Arial" w:cs="Arial"/>
          <w:sz w:val="24"/>
          <w:szCs w:val="24"/>
          <w:lang w:eastAsia="pt-BR"/>
        </w:rPr>
        <w:t>ndo</w:t>
      </w:r>
      <w:r w:rsidR="00091A5D" w:rsidRPr="00091A5D">
        <w:rPr>
          <w:rFonts w:ascii="Arial" w:eastAsia="Times New Roman" w:hAnsi="Arial" w:cs="Arial"/>
          <w:sz w:val="24"/>
          <w:szCs w:val="24"/>
          <w:lang w:eastAsia="pt-BR"/>
        </w:rPr>
        <w:t xml:space="preserve"> propósito e risco podem </w:t>
      </w:r>
      <w:r w:rsidR="00091A5D">
        <w:rPr>
          <w:rFonts w:ascii="Arial" w:eastAsia="Times New Roman" w:hAnsi="Arial" w:cs="Arial"/>
          <w:sz w:val="24"/>
          <w:szCs w:val="24"/>
          <w:lang w:eastAsia="pt-BR"/>
        </w:rPr>
        <w:t>alcançar</w:t>
      </w:r>
      <w:r w:rsidR="00091A5D" w:rsidRPr="00091A5D">
        <w:rPr>
          <w:rFonts w:ascii="Arial" w:eastAsia="Times New Roman" w:hAnsi="Arial" w:cs="Arial"/>
          <w:sz w:val="24"/>
          <w:szCs w:val="24"/>
          <w:lang w:eastAsia="pt-BR"/>
        </w:rPr>
        <w:t xml:space="preserve"> inovação sustentável sem </w:t>
      </w:r>
      <w:r w:rsidR="00091A5D">
        <w:rPr>
          <w:rFonts w:ascii="Arial" w:eastAsia="Times New Roman" w:hAnsi="Arial" w:cs="Arial"/>
          <w:sz w:val="24"/>
          <w:szCs w:val="24"/>
          <w:lang w:eastAsia="pt-BR"/>
        </w:rPr>
        <w:t xml:space="preserve">o </w:t>
      </w:r>
      <w:r w:rsidR="00091A5D" w:rsidRPr="00091A5D">
        <w:rPr>
          <w:rFonts w:ascii="Arial" w:eastAsia="Times New Roman" w:hAnsi="Arial" w:cs="Arial"/>
          <w:sz w:val="24"/>
          <w:szCs w:val="24"/>
          <w:lang w:eastAsia="pt-BR"/>
        </w:rPr>
        <w:t>compromet</w:t>
      </w:r>
      <w:r w:rsidR="00091A5D">
        <w:rPr>
          <w:rFonts w:ascii="Arial" w:eastAsia="Times New Roman" w:hAnsi="Arial" w:cs="Arial"/>
          <w:sz w:val="24"/>
          <w:szCs w:val="24"/>
          <w:lang w:eastAsia="pt-BR"/>
        </w:rPr>
        <w:t>imento</w:t>
      </w:r>
      <w:r w:rsidR="00091A5D" w:rsidRPr="00091A5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091A5D">
        <w:rPr>
          <w:rFonts w:ascii="Arial" w:eastAsia="Times New Roman" w:hAnsi="Arial" w:cs="Arial"/>
          <w:sz w:val="24"/>
          <w:szCs w:val="24"/>
          <w:lang w:eastAsia="pt-BR"/>
        </w:rPr>
        <w:t>da sua estabilidade</w:t>
      </w:r>
      <w:r w:rsidR="00091A5D" w:rsidRPr="00091A5D">
        <w:rPr>
          <w:rFonts w:ascii="Arial" w:eastAsia="Times New Roman" w:hAnsi="Arial" w:cs="Arial"/>
          <w:sz w:val="24"/>
          <w:szCs w:val="24"/>
          <w:lang w:eastAsia="pt-BR"/>
        </w:rPr>
        <w:t xml:space="preserve"> econômica.</w:t>
      </w:r>
    </w:p>
    <w:p w14:paraId="488A6693" w14:textId="77777777" w:rsidR="00CA3321" w:rsidRPr="00CA3321" w:rsidRDefault="007B41D2" w:rsidP="00930AE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pict w14:anchorId="20A475A7">
          <v:rect id="_x0000_i1031" style="width:0;height:1.5pt" o:hralign="center" o:hrstd="t" o:hr="t" fillcolor="#a0a0a0" stroked="f"/>
        </w:pict>
      </w:r>
    </w:p>
    <w:p w14:paraId="008DFC5C" w14:textId="77777777" w:rsidR="00CA3321" w:rsidRPr="00CA3321" w:rsidRDefault="00CA3321" w:rsidP="00930AE5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sz w:val="27"/>
          <w:szCs w:val="27"/>
          <w:lang w:eastAsia="pt-BR"/>
        </w:rPr>
      </w:pPr>
      <w:r w:rsidRPr="00CA3321">
        <w:rPr>
          <w:rFonts w:ascii="Arial" w:eastAsia="Times New Roman" w:hAnsi="Arial" w:cs="Arial"/>
          <w:b/>
          <w:bCs/>
          <w:sz w:val="27"/>
          <w:szCs w:val="27"/>
          <w:lang w:eastAsia="pt-BR"/>
        </w:rPr>
        <w:t>2.4 Modelos de negócio e crescimento</w:t>
      </w:r>
    </w:p>
    <w:p w14:paraId="3C081201" w14:textId="6E835799" w:rsidR="00CB1A17" w:rsidRDefault="00CB1A17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B1A17">
        <w:rPr>
          <w:rFonts w:ascii="Arial" w:eastAsia="Times New Roman" w:hAnsi="Arial" w:cs="Arial"/>
          <w:sz w:val="24"/>
          <w:szCs w:val="24"/>
          <w:lang w:eastAsia="pt-BR"/>
        </w:rPr>
        <w:t xml:space="preserve">O Magazine Luiza protagonizou uma das mais relevantes transformações digitais do varejo brasileiro. A partir de 2015, a gestão decidiu reposicionar a companhia como uma plataforma digital com pontos físicos, e não o contrário. Essa visão demandou assumir riscos importantes em tecnologia, logística e cultura organizacional. A criação do </w:t>
      </w:r>
      <w:proofErr w:type="spellStart"/>
      <w:r w:rsidRPr="00CB1A17">
        <w:rPr>
          <w:rFonts w:ascii="Arial" w:eastAsia="Times New Roman" w:hAnsi="Arial" w:cs="Arial"/>
          <w:sz w:val="24"/>
          <w:szCs w:val="24"/>
          <w:lang w:eastAsia="pt-BR"/>
        </w:rPr>
        <w:t>Luizalabs</w:t>
      </w:r>
      <w:proofErr w:type="spellEnd"/>
      <w:r w:rsidRPr="00CB1A17">
        <w:rPr>
          <w:rFonts w:ascii="Arial" w:eastAsia="Times New Roman" w:hAnsi="Arial" w:cs="Arial"/>
          <w:sz w:val="24"/>
          <w:szCs w:val="24"/>
          <w:lang w:eastAsia="pt-BR"/>
        </w:rPr>
        <w:t xml:space="preserve"> acelerou o desenvolvimento de soluções internas, como o aplicativo mobile e o </w:t>
      </w:r>
      <w:proofErr w:type="spellStart"/>
      <w:r w:rsidRPr="00CB1A17">
        <w:rPr>
          <w:rFonts w:ascii="Arial" w:eastAsia="Times New Roman" w:hAnsi="Arial" w:cs="Arial"/>
          <w:sz w:val="24"/>
          <w:szCs w:val="24"/>
          <w:lang w:eastAsia="pt-BR"/>
        </w:rPr>
        <w:t>marketplace</w:t>
      </w:r>
      <w:proofErr w:type="spellEnd"/>
      <w:r w:rsidRPr="00CB1A17">
        <w:rPr>
          <w:rFonts w:ascii="Arial" w:eastAsia="Times New Roman" w:hAnsi="Arial" w:cs="Arial"/>
          <w:sz w:val="24"/>
          <w:szCs w:val="24"/>
          <w:lang w:eastAsia="pt-BR"/>
        </w:rPr>
        <w:t xml:space="preserve">, integrando vendedores parceiros e possibilitando a operação </w:t>
      </w:r>
      <w:proofErr w:type="spellStart"/>
      <w:r w:rsidRPr="00CB1A17">
        <w:rPr>
          <w:rFonts w:ascii="Arial" w:eastAsia="Times New Roman" w:hAnsi="Arial" w:cs="Arial"/>
          <w:sz w:val="24"/>
          <w:szCs w:val="24"/>
          <w:lang w:eastAsia="pt-BR"/>
        </w:rPr>
        <w:t>omnichannel</w:t>
      </w:r>
      <w:proofErr w:type="spellEnd"/>
      <w:r w:rsidRPr="00CB1A17">
        <w:rPr>
          <w:rFonts w:ascii="Arial" w:eastAsia="Times New Roman" w:hAnsi="Arial" w:cs="Arial"/>
          <w:sz w:val="24"/>
          <w:szCs w:val="24"/>
          <w:lang w:eastAsia="pt-BR"/>
        </w:rPr>
        <w:t xml:space="preserve">. A empresa realizou ainda aquisições estratégicas de </w:t>
      </w:r>
      <w:r w:rsidR="00BC3839">
        <w:rPr>
          <w:rFonts w:ascii="Arial" w:eastAsia="Times New Roman" w:hAnsi="Arial" w:cs="Arial"/>
          <w:sz w:val="24"/>
          <w:szCs w:val="24"/>
          <w:lang w:eastAsia="pt-BR"/>
        </w:rPr>
        <w:t xml:space="preserve">outras empresas tomando como exemplo a </w:t>
      </w:r>
      <w:proofErr w:type="spellStart"/>
      <w:r w:rsidR="00BC3839">
        <w:rPr>
          <w:rFonts w:ascii="Arial" w:eastAsia="Times New Roman" w:hAnsi="Arial" w:cs="Arial"/>
          <w:sz w:val="24"/>
          <w:szCs w:val="24"/>
          <w:lang w:eastAsia="pt-BR"/>
        </w:rPr>
        <w:t>Netshoes</w:t>
      </w:r>
      <w:proofErr w:type="spellEnd"/>
      <w:r w:rsidRPr="00CB1A17">
        <w:rPr>
          <w:rFonts w:ascii="Arial" w:eastAsia="Times New Roman" w:hAnsi="Arial" w:cs="Arial"/>
          <w:sz w:val="24"/>
          <w:szCs w:val="24"/>
          <w:lang w:eastAsia="pt-BR"/>
        </w:rPr>
        <w:t xml:space="preserve">, ampliando competências em pagamentos, mídia e entrega rápida. Essa postura proativa e tolerante a experimentações fomentou equipes autônomas e rápida adaptação ao </w:t>
      </w:r>
      <w:r w:rsidRPr="00CB1A17">
        <w:rPr>
          <w:rFonts w:ascii="Arial" w:eastAsia="Times New Roman" w:hAnsi="Arial" w:cs="Arial"/>
          <w:sz w:val="24"/>
          <w:szCs w:val="24"/>
          <w:lang w:eastAsia="pt-BR"/>
        </w:rPr>
        <w:lastRenderedPageBreak/>
        <w:t>consumidor conectado. O resultado foi crescimento expressivo, ganho de competitividade e reconhecimento como empresa inovadora no mercado brasileiro. O caso demonstra que gestores com menor aversão ao risco são capazes de conduzir mudanças estruturais que renovam modelos de negócio tradicionais.</w:t>
      </w:r>
    </w:p>
    <w:p w14:paraId="3EAA054D" w14:textId="77777777" w:rsidR="00CB1A17" w:rsidRPr="00CB1A17" w:rsidRDefault="00CB1A17" w:rsidP="00CB1A17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B1A17">
        <w:rPr>
          <w:rFonts w:ascii="Arial" w:eastAsia="Times New Roman" w:hAnsi="Arial" w:cs="Arial"/>
          <w:sz w:val="24"/>
          <w:szCs w:val="24"/>
          <w:lang w:eastAsia="pt-BR"/>
        </w:rPr>
        <w:t>A Embraer se destaca como uma das maiores fabricantes de aeronaves do mundo, símbolo de inovação tecnológica nacional. Desde sua criação, a empresa adotou uma estratégia orientada para nichos específicos da aviação, evitando competir diretamente com gigantes globais e assumindo riscos calculados em projetos de alta complexidade. O desenvolvimento de famílias de aeronaves regionais, como a linha E-Jet, é resultado de decisões gerenciais que priorizaram pesquisa, alianças estratégicas e forte investimento em capital intelectual. A cultura interna também estimula aprendizagem contínua e colaboração com universidades e centros de pesquisa, o que ampliou a capacidade de inovar em engenharia e design aeronáutico. Mesmo em ambientes de incerteza geopolítica e econômica, a Embraer demonstrou resiliência ao diversificar sua atuação para setores como defesa e mobilidade aérea urbana. Os resultados incluem liderança global no segmento regional, geração de tecnologia nacional e reconhecimento como empresa que transforma risco em vantagem competitiva.</w:t>
      </w:r>
    </w:p>
    <w:p w14:paraId="6000DA7F" w14:textId="77777777" w:rsidR="00CB1A17" w:rsidRPr="00CB1A17" w:rsidRDefault="00CB1A17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216F890" w14:textId="384B4E50" w:rsidR="00CA3321" w:rsidRPr="00CA3321" w:rsidRDefault="00CA3321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A relação entre inovação e crescimento empresarial está diretamente ligada à estrutura e ao modelo de negócio adotado pela organização. </w:t>
      </w:r>
      <w:proofErr w:type="spellStart"/>
      <w:r w:rsidRPr="006A50F7">
        <w:rPr>
          <w:rFonts w:ascii="Arial" w:eastAsia="Times New Roman" w:hAnsi="Arial" w:cs="Arial"/>
          <w:sz w:val="24"/>
          <w:szCs w:val="24"/>
          <w:lang w:eastAsia="pt-BR"/>
        </w:rPr>
        <w:t>Teece</w:t>
      </w:r>
      <w:proofErr w:type="spellEnd"/>
      <w:r w:rsidRPr="006A50F7">
        <w:rPr>
          <w:rFonts w:ascii="Arial" w:eastAsia="Times New Roman" w:hAnsi="Arial" w:cs="Arial"/>
          <w:sz w:val="24"/>
          <w:szCs w:val="24"/>
          <w:lang w:eastAsia="pt-BR"/>
        </w:rPr>
        <w:t xml:space="preserve"> (2010)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 afirma que a inovação, por si só, não garante sucesso; é necessário transformá-la em valor econômico por meio de estratégias coerentes de captura de valor.</w:t>
      </w:r>
    </w:p>
    <w:p w14:paraId="264A8D6C" w14:textId="77777777" w:rsidR="00CA3321" w:rsidRPr="00CA3321" w:rsidRDefault="00CA3321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t>Modelos de negócio eficientes permitem que a empresa converta inovações em vantagem competitiva, explorando novos mercados e consolidando sua presença. Para isso, o gestor deve ser capaz de identificar oportunidades e gerenciar riscos de forma equilibrada.</w:t>
      </w:r>
    </w:p>
    <w:p w14:paraId="152036C3" w14:textId="77777777" w:rsidR="00CA3321" w:rsidRPr="00CA3321" w:rsidRDefault="00CA3321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spellStart"/>
      <w:r w:rsidRPr="006A50F7">
        <w:rPr>
          <w:rFonts w:ascii="Arial" w:eastAsia="Times New Roman" w:hAnsi="Arial" w:cs="Arial"/>
          <w:sz w:val="24"/>
          <w:szCs w:val="24"/>
          <w:lang w:eastAsia="pt-BR"/>
        </w:rPr>
        <w:lastRenderedPageBreak/>
        <w:t>Meroño-Cerdán</w:t>
      </w:r>
      <w:proofErr w:type="spellEnd"/>
      <w:r w:rsidRPr="006A50F7">
        <w:rPr>
          <w:rFonts w:ascii="Arial" w:eastAsia="Times New Roman" w:hAnsi="Arial" w:cs="Arial"/>
          <w:sz w:val="24"/>
          <w:szCs w:val="24"/>
          <w:lang w:eastAsia="pt-BR"/>
        </w:rPr>
        <w:t>, López-Nicolás e Molina-Castillo (2017)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 ressaltam que, especialmente nas empresas familiares, a aversão ao risco é mais acentuada, o que limita as iniciativas de inovação. Entretanto, a profissionalização da gestão e a diversificação das fontes de receita reduzem esse comportamento e promovem o crescimento sustentável.</w:t>
      </w:r>
    </w:p>
    <w:p w14:paraId="0FE1981B" w14:textId="1DC2851E" w:rsidR="00CA3321" w:rsidRPr="00CA3321" w:rsidRDefault="00CA3321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t>Um exemplo</w:t>
      </w:r>
      <w:r w:rsidR="00BC3839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é o da </w:t>
      </w:r>
      <w:r w:rsidRPr="00BC3839">
        <w:rPr>
          <w:rFonts w:ascii="Arial" w:eastAsia="Times New Roman" w:hAnsi="Arial" w:cs="Arial"/>
          <w:sz w:val="24"/>
          <w:szCs w:val="24"/>
          <w:lang w:eastAsia="pt-BR"/>
        </w:rPr>
        <w:t>Tesla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, que revolucionou o setor automotivo ao desafiar paradigmas da indústria. Sob a liderança de </w:t>
      </w:r>
      <w:proofErr w:type="spellStart"/>
      <w:r w:rsidRPr="00CA3321">
        <w:rPr>
          <w:rFonts w:ascii="Arial" w:eastAsia="Times New Roman" w:hAnsi="Arial" w:cs="Arial"/>
          <w:sz w:val="24"/>
          <w:szCs w:val="24"/>
          <w:lang w:eastAsia="pt-BR"/>
        </w:rPr>
        <w:t>Elon</w:t>
      </w:r>
      <w:proofErr w:type="spellEnd"/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 Musk, a empresa investiu em tecnologias de alto risco, como baterias de lítio e veículos autônomos, mas conquistou posição de destaque global. O caso demonstra como uma liderança com baixa aversão ao risco pode transformar setores inteiros e redefinir padrões de mercado.</w:t>
      </w:r>
    </w:p>
    <w:p w14:paraId="5C94FF4D" w14:textId="79BD6E6E" w:rsidR="00CA3321" w:rsidRDefault="007B41D2" w:rsidP="00930AE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pict w14:anchorId="60425CDC">
          <v:rect id="_x0000_i1032" style="width:0;height:1.5pt" o:hralign="center" o:bullet="t" o:hrstd="t" o:hr="t" fillcolor="#a0a0a0" stroked="f"/>
        </w:pict>
      </w:r>
    </w:p>
    <w:p w14:paraId="73427010" w14:textId="4D8230D1" w:rsidR="00BA3F32" w:rsidRPr="00CA3321" w:rsidRDefault="00BA3F32" w:rsidP="00930AE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B2165DD" w14:textId="4CEA668D" w:rsidR="002F6864" w:rsidRPr="003147F5" w:rsidRDefault="003147F5" w:rsidP="003147F5">
      <w:pPr>
        <w:spacing w:before="100" w:beforeAutospacing="1" w:after="100" w:afterAutospacing="1" w:line="360" w:lineRule="auto"/>
        <w:ind w:left="360"/>
        <w:jc w:val="both"/>
        <w:outlineLvl w:val="1"/>
        <w:rPr>
          <w:rFonts w:ascii="Arial" w:eastAsia="Times New Roman" w:hAnsi="Arial" w:cs="Arial"/>
          <w:b/>
          <w:bCs/>
          <w:sz w:val="36"/>
          <w:szCs w:val="36"/>
          <w:lang w:eastAsia="pt-BR"/>
        </w:rPr>
      </w:pPr>
      <w:r>
        <w:rPr>
          <w:rFonts w:ascii="Arial" w:eastAsia="Times New Roman" w:hAnsi="Arial" w:cs="Arial"/>
          <w:b/>
          <w:bCs/>
          <w:sz w:val="36"/>
          <w:szCs w:val="36"/>
          <w:lang w:eastAsia="pt-BR"/>
        </w:rPr>
        <w:t>3.</w:t>
      </w:r>
      <w:r w:rsidR="00CA3321" w:rsidRPr="003147F5">
        <w:rPr>
          <w:rFonts w:ascii="Arial" w:eastAsia="Times New Roman" w:hAnsi="Arial" w:cs="Arial"/>
          <w:b/>
          <w:bCs/>
          <w:sz w:val="36"/>
          <w:szCs w:val="36"/>
          <w:lang w:eastAsia="pt-BR"/>
        </w:rPr>
        <w:t>DISCUSSÃO</w:t>
      </w:r>
    </w:p>
    <w:p w14:paraId="2BD4739E" w14:textId="77777777" w:rsidR="002F6864" w:rsidRDefault="002F6864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2C40FB6" w14:textId="4A2C4CA8" w:rsidR="002F6864" w:rsidRDefault="002F6864" w:rsidP="002F6864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É importante salientar que inovar nem sempre é reinventar a roda, na maior parte dos cenários não é necessário. Há quatro tipos de inovação: </w:t>
      </w:r>
      <w:r w:rsidRPr="002F6864">
        <w:rPr>
          <w:rFonts w:ascii="Arial" w:eastAsia="Times New Roman" w:hAnsi="Arial" w:cs="Arial"/>
          <w:sz w:val="24"/>
          <w:szCs w:val="24"/>
          <w:lang w:eastAsia="pt-BR"/>
        </w:rPr>
        <w:t xml:space="preserve">A inovação incremental consiste em pequenas melhorias contínuas em produtos, processos ou serviços já existentes, buscando eficiência e competitividade </w:t>
      </w:r>
      <w:r>
        <w:rPr>
          <w:rFonts w:ascii="Arial" w:eastAsia="Times New Roman" w:hAnsi="Arial" w:cs="Arial"/>
          <w:sz w:val="24"/>
          <w:szCs w:val="24"/>
          <w:lang w:eastAsia="pt-BR"/>
        </w:rPr>
        <w:t>sem alterar o modelo de negócio;</w:t>
      </w:r>
      <w:r w:rsidRPr="00A01497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A01497">
        <w:rPr>
          <w:rFonts w:ascii="Arial" w:eastAsia="Times New Roman" w:hAnsi="Arial" w:cs="Arial"/>
          <w:sz w:val="24"/>
          <w:szCs w:val="24"/>
          <w:lang w:eastAsia="pt-BR"/>
        </w:rPr>
        <w:t xml:space="preserve">a </w:t>
      </w:r>
      <w:r w:rsidRPr="002F6864">
        <w:rPr>
          <w:rFonts w:ascii="Arial" w:eastAsia="Times New Roman" w:hAnsi="Arial" w:cs="Arial"/>
          <w:sz w:val="24"/>
          <w:szCs w:val="24"/>
          <w:lang w:eastAsia="pt-BR"/>
        </w:rPr>
        <w:t>inovação radical representa transformações profundas, resultando em novos produtos ou tecnologias que modificam significativamente o mercado, exig</w:t>
      </w:r>
      <w:r>
        <w:rPr>
          <w:rFonts w:ascii="Arial" w:eastAsia="Times New Roman" w:hAnsi="Arial" w:cs="Arial"/>
          <w:sz w:val="24"/>
          <w:szCs w:val="24"/>
          <w:lang w:eastAsia="pt-BR"/>
        </w:rPr>
        <w:t>indo maior investimento e risco;</w:t>
      </w:r>
      <w:r w:rsidRPr="00A01497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2F6864">
        <w:rPr>
          <w:rFonts w:ascii="Arial" w:eastAsia="Times New Roman" w:hAnsi="Arial" w:cs="Arial"/>
          <w:sz w:val="24"/>
          <w:szCs w:val="24"/>
          <w:lang w:eastAsia="pt-BR"/>
        </w:rPr>
        <w:t>inovação disruptiva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2F6864">
        <w:rPr>
          <w:rFonts w:ascii="Arial" w:eastAsia="Times New Roman" w:hAnsi="Arial" w:cs="Arial"/>
          <w:sz w:val="24"/>
          <w:szCs w:val="24"/>
          <w:lang w:eastAsia="pt-BR"/>
        </w:rPr>
        <w:t>ocorre quando uma nova tecnologia ou modelo de negócio rompe padrões estabelecidos, substituindo soluções tradicionais por alternativas mais eficientes, como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exemplo temos os serviços de streaming que tomaram o lugar das locadoras;</w:t>
      </w:r>
      <w:r w:rsidRPr="00A01497">
        <w:rPr>
          <w:rFonts w:ascii="Arial" w:eastAsia="Times New Roman" w:hAnsi="Arial" w:cs="Arial"/>
          <w:sz w:val="24"/>
          <w:szCs w:val="24"/>
          <w:lang w:eastAsia="pt-BR"/>
        </w:rPr>
        <w:t xml:space="preserve"> p</w:t>
      </w:r>
      <w:r w:rsidRPr="002F6864">
        <w:rPr>
          <w:rFonts w:ascii="Arial" w:eastAsia="Times New Roman" w:hAnsi="Arial" w:cs="Arial"/>
          <w:sz w:val="24"/>
          <w:szCs w:val="24"/>
          <w:lang w:eastAsia="pt-BR"/>
        </w:rPr>
        <w:t xml:space="preserve">or fim, a inovação social </w:t>
      </w:r>
      <w:r>
        <w:rPr>
          <w:rFonts w:ascii="Arial" w:eastAsia="Times New Roman" w:hAnsi="Arial" w:cs="Arial"/>
          <w:sz w:val="24"/>
          <w:szCs w:val="24"/>
          <w:lang w:eastAsia="pt-BR"/>
        </w:rPr>
        <w:t>procura</w:t>
      </w:r>
      <w:r w:rsidRPr="002F6864">
        <w:rPr>
          <w:rFonts w:ascii="Arial" w:eastAsia="Times New Roman" w:hAnsi="Arial" w:cs="Arial"/>
          <w:sz w:val="24"/>
          <w:szCs w:val="24"/>
          <w:lang w:eastAsia="pt-BR"/>
        </w:rPr>
        <w:t xml:space="preserve"> gerar impacto positivo na sociedade, criando soluções sustentáveis para problemas coletivos, como inclusã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o digital e economia solidária. </w:t>
      </w:r>
      <w:r w:rsidRPr="002F6864">
        <w:rPr>
          <w:rFonts w:ascii="Arial" w:eastAsia="Times New Roman" w:hAnsi="Arial" w:cs="Arial"/>
          <w:sz w:val="24"/>
          <w:szCs w:val="24"/>
          <w:lang w:eastAsia="pt-BR"/>
        </w:rPr>
        <w:t xml:space="preserve">Compreender esses tipos de inovação </w:t>
      </w:r>
      <w:r w:rsidRPr="002F6864">
        <w:rPr>
          <w:rFonts w:ascii="Arial" w:eastAsia="Times New Roman" w:hAnsi="Arial" w:cs="Arial"/>
          <w:sz w:val="24"/>
          <w:szCs w:val="24"/>
          <w:lang w:eastAsia="pt-BR"/>
        </w:rPr>
        <w:lastRenderedPageBreak/>
        <w:t>permite às organizações adotar estratégias adequadas para equilibrar risco, retorno e contribuição social.</w:t>
      </w:r>
    </w:p>
    <w:p w14:paraId="0540DC7F" w14:textId="10644BFE" w:rsidR="00CA3321" w:rsidRPr="00CA3321" w:rsidRDefault="00CA3321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t>A análise integrada dos referenciais teóricos revela que a aversão ao risco está intrinsecamente ligada à cultura organizacional, ao estilo de liderança e ao desempenho inovador das empresas.</w:t>
      </w:r>
    </w:p>
    <w:p w14:paraId="24579DB9" w14:textId="77777777" w:rsidR="00CA3321" w:rsidRPr="00CA3321" w:rsidRDefault="00CA3321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t>Os gestores, como principais tomadores de decisão, desempenham papel central na definição da postura institucional diante da incerteza. Gestores conservadores tendem a valorizar a segurança, a previsibilidade e a redução de riscos, enquanto gestores mais ousados enxergam o risco como um elemento inerente ao processo de inovação.</w:t>
      </w:r>
    </w:p>
    <w:p w14:paraId="504A94C7" w14:textId="1AD6BBED" w:rsidR="00CA3321" w:rsidRPr="00CA3321" w:rsidRDefault="00CA3321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t>Empresas de destaque mundial, como Google, Tesla, Natura e Embraer, demonstram que o sucesso inovador depende de um equilíbrio entre esses dois extremos. O Google, por exemplo, estimula a experimentação e a liberdade criativa, permitindo que seus funcionários dediquem parte do tempo de trabalho a projetos pessoais</w:t>
      </w:r>
      <w:r w:rsidR="006A50F7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 política que resultou no surgimento de produtos icônicos, como o Gmail e o Google Maps. Já a Embraer demonstra que é possível inovar de forma segura, adotando metodologias de análise e controle de risco que garantem confiabilidade aos projetos.</w:t>
      </w:r>
    </w:p>
    <w:p w14:paraId="583A7693" w14:textId="77777777" w:rsidR="00CA3321" w:rsidRPr="00CA3321" w:rsidRDefault="00CA3321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A Tesla representa o polo oposto da aversão ao risco: seu modelo de gestão é baseado em decisões ousadas e em uma cultura que valoriza a </w:t>
      </w:r>
      <w:proofErr w:type="spellStart"/>
      <w:r w:rsidRPr="00CA3321">
        <w:rPr>
          <w:rFonts w:ascii="Arial" w:eastAsia="Times New Roman" w:hAnsi="Arial" w:cs="Arial"/>
          <w:sz w:val="24"/>
          <w:szCs w:val="24"/>
          <w:lang w:eastAsia="pt-BR"/>
        </w:rPr>
        <w:t>disrupção</w:t>
      </w:r>
      <w:proofErr w:type="spellEnd"/>
      <w:r w:rsidRPr="00CA3321">
        <w:rPr>
          <w:rFonts w:ascii="Arial" w:eastAsia="Times New Roman" w:hAnsi="Arial" w:cs="Arial"/>
          <w:sz w:val="24"/>
          <w:szCs w:val="24"/>
          <w:lang w:eastAsia="pt-BR"/>
        </w:rPr>
        <w:t>. Mesmo diante de riscos financeiros e tecnológicos, a empresa persevera em sua visão de longo prazo. Por sua vez, a Natura simboliza o equilíbrio entre responsabilidade e inovação, evidenciando que é possível crescer de forma sustentável sem abrir mão de prudência.</w:t>
      </w:r>
    </w:p>
    <w:p w14:paraId="55E3CEE6" w14:textId="77777777" w:rsidR="00CA3321" w:rsidRPr="00CA3321" w:rsidRDefault="00CA3321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t>De modo geral, os estudos indicam que organizações que reconhecem o erro como parte do processo de aprendizado são mais inovadoras e resilientes. Em contrapartida, empresas que punem o erro e desencorajam a experimentação tendem a estagnar.</w:t>
      </w:r>
    </w:p>
    <w:p w14:paraId="1F85442B" w14:textId="77777777" w:rsidR="00CA3321" w:rsidRPr="00CA3321" w:rsidRDefault="00CA3321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lastRenderedPageBreak/>
        <w:t>Assim, a relação entre aversão ao risco e inovação não é dicotômica, mas dialética: o risco é tanto ameaça quanto oportunidade. O papel do gestor é transformar o risco em aprendizado e vantagem competitiva, por meio de uma cultura organizacional que valorize o conhecimento e a adaptação.</w:t>
      </w:r>
    </w:p>
    <w:p w14:paraId="6580F065" w14:textId="1000F9F5" w:rsidR="00CA3321" w:rsidRPr="00CA3321" w:rsidRDefault="003147F5" w:rsidP="00930AE5">
      <w:pPr>
        <w:spacing w:before="100" w:beforeAutospacing="1" w:after="100" w:afterAutospacing="1" w:line="360" w:lineRule="auto"/>
        <w:jc w:val="both"/>
        <w:outlineLvl w:val="1"/>
        <w:rPr>
          <w:rFonts w:ascii="Arial" w:eastAsia="Times New Roman" w:hAnsi="Arial" w:cs="Arial"/>
          <w:b/>
          <w:bCs/>
          <w:sz w:val="36"/>
          <w:szCs w:val="36"/>
          <w:lang w:eastAsia="pt-BR"/>
        </w:rPr>
      </w:pPr>
      <w:r>
        <w:rPr>
          <w:rFonts w:ascii="Arial" w:eastAsia="Times New Roman" w:hAnsi="Arial" w:cs="Arial"/>
          <w:b/>
          <w:bCs/>
          <w:sz w:val="36"/>
          <w:szCs w:val="36"/>
          <w:lang w:eastAsia="pt-BR"/>
        </w:rPr>
        <w:t>4</w:t>
      </w:r>
      <w:r w:rsidR="00CA3321" w:rsidRPr="00CA3321">
        <w:rPr>
          <w:rFonts w:ascii="Arial" w:eastAsia="Times New Roman" w:hAnsi="Arial" w:cs="Arial"/>
          <w:b/>
          <w:bCs/>
          <w:sz w:val="36"/>
          <w:szCs w:val="36"/>
          <w:lang w:eastAsia="pt-BR"/>
        </w:rPr>
        <w:t>. METODOLOGIA</w:t>
      </w:r>
    </w:p>
    <w:p w14:paraId="1E9334A0" w14:textId="77777777" w:rsidR="00CA3321" w:rsidRPr="00CA3321" w:rsidRDefault="00CA3321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Este trabalho foi desenvolvido por meio de uma </w:t>
      </w:r>
      <w:r w:rsidRPr="00CA332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revisão bibliográfica qualitativa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>, de caráter exploratório e descritivo. A revisão bibliográfica consiste na análise sistemática de estudos, artigos e obras que abordam conceitos, teorias e evidências relacionadas ao tema proposto, com o objetivo de consolidar e interpretar o conhecimento existente.</w:t>
      </w:r>
    </w:p>
    <w:p w14:paraId="1056A11D" w14:textId="77777777" w:rsidR="00CA3321" w:rsidRPr="00CA3321" w:rsidRDefault="00CA3321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t>Segundo Gil (2017), a pesquisa bibliográfica é adequada quando se busca compreender fenômenos a partir de referências já publicadas, permitindo integrar perspectivas teóricas distintas. Assim, foram selecionados autores reconhecidos na literatura científica que contribuem para a compreensão da relação entre aversão ao risco e inovação.</w:t>
      </w:r>
    </w:p>
    <w:p w14:paraId="666F97D8" w14:textId="77777777" w:rsidR="00CA3321" w:rsidRPr="00CA3321" w:rsidRDefault="00CA3321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Os critérios de seleção das obras seguiram relevância, consistência metodológica e adequação ao tema. Foram priorizadas publicações clássicas e contemporâneas de impacto, como </w:t>
      </w:r>
      <w:r w:rsidRPr="006A50F7">
        <w:rPr>
          <w:rFonts w:ascii="Arial" w:eastAsia="Times New Roman" w:hAnsi="Arial" w:cs="Arial"/>
          <w:sz w:val="24"/>
          <w:szCs w:val="24"/>
          <w:lang w:eastAsia="pt-BR"/>
        </w:rPr>
        <w:t xml:space="preserve">Kahneman e </w:t>
      </w:r>
      <w:proofErr w:type="spellStart"/>
      <w:r w:rsidRPr="006A50F7">
        <w:rPr>
          <w:rFonts w:ascii="Arial" w:eastAsia="Times New Roman" w:hAnsi="Arial" w:cs="Arial"/>
          <w:sz w:val="24"/>
          <w:szCs w:val="24"/>
          <w:lang w:eastAsia="pt-BR"/>
        </w:rPr>
        <w:t>Tversky</w:t>
      </w:r>
      <w:proofErr w:type="spellEnd"/>
      <w:r w:rsidRPr="006A50F7">
        <w:rPr>
          <w:rFonts w:ascii="Arial" w:eastAsia="Times New Roman" w:hAnsi="Arial" w:cs="Arial"/>
          <w:sz w:val="24"/>
          <w:szCs w:val="24"/>
          <w:lang w:eastAsia="pt-BR"/>
        </w:rPr>
        <w:t xml:space="preserve"> (1979)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, que apresentam os fundamentos psicológicos da tomada de decisão sob risco; </w:t>
      </w:r>
      <w:r w:rsidRPr="006A50F7">
        <w:rPr>
          <w:rFonts w:ascii="Arial" w:eastAsia="Times New Roman" w:hAnsi="Arial" w:cs="Arial"/>
          <w:sz w:val="24"/>
          <w:szCs w:val="24"/>
          <w:lang w:eastAsia="pt-BR"/>
        </w:rPr>
        <w:t xml:space="preserve">Fagundes, </w:t>
      </w:r>
      <w:proofErr w:type="spellStart"/>
      <w:r w:rsidRPr="006A50F7">
        <w:rPr>
          <w:rFonts w:ascii="Arial" w:eastAsia="Times New Roman" w:hAnsi="Arial" w:cs="Arial"/>
          <w:sz w:val="24"/>
          <w:szCs w:val="24"/>
          <w:lang w:eastAsia="pt-BR"/>
        </w:rPr>
        <w:t>Schnorrenberger</w:t>
      </w:r>
      <w:proofErr w:type="spellEnd"/>
      <w:r w:rsidRPr="006A50F7">
        <w:rPr>
          <w:rFonts w:ascii="Arial" w:eastAsia="Times New Roman" w:hAnsi="Arial" w:cs="Arial"/>
          <w:sz w:val="24"/>
          <w:szCs w:val="24"/>
          <w:lang w:eastAsia="pt-BR"/>
        </w:rPr>
        <w:t xml:space="preserve"> e </w:t>
      </w:r>
      <w:proofErr w:type="spellStart"/>
      <w:r w:rsidRPr="006A50F7">
        <w:rPr>
          <w:rFonts w:ascii="Arial" w:eastAsia="Times New Roman" w:hAnsi="Arial" w:cs="Arial"/>
          <w:sz w:val="24"/>
          <w:szCs w:val="24"/>
          <w:lang w:eastAsia="pt-BR"/>
        </w:rPr>
        <w:t>Lunkes</w:t>
      </w:r>
      <w:proofErr w:type="spellEnd"/>
      <w:r w:rsidRPr="006A50F7">
        <w:rPr>
          <w:rFonts w:ascii="Arial" w:eastAsia="Times New Roman" w:hAnsi="Arial" w:cs="Arial"/>
          <w:sz w:val="24"/>
          <w:szCs w:val="24"/>
          <w:lang w:eastAsia="pt-BR"/>
        </w:rPr>
        <w:t xml:space="preserve"> (2019)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, que exploram a aversão ao risco no contexto organizacional; </w:t>
      </w:r>
      <w:proofErr w:type="spellStart"/>
      <w:r w:rsidRPr="006A50F7">
        <w:rPr>
          <w:rFonts w:ascii="Arial" w:eastAsia="Times New Roman" w:hAnsi="Arial" w:cs="Arial"/>
          <w:sz w:val="24"/>
          <w:szCs w:val="24"/>
          <w:lang w:eastAsia="pt-BR"/>
        </w:rPr>
        <w:t>Meroño-Cerdán</w:t>
      </w:r>
      <w:proofErr w:type="spellEnd"/>
      <w:r w:rsidRPr="006A50F7">
        <w:rPr>
          <w:rFonts w:ascii="Arial" w:eastAsia="Times New Roman" w:hAnsi="Arial" w:cs="Arial"/>
          <w:sz w:val="24"/>
          <w:szCs w:val="24"/>
          <w:lang w:eastAsia="pt-BR"/>
        </w:rPr>
        <w:t>, López-Nicolás e Molina-Castillo (2017)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, que relacionam risco e inovação em empresas familiares; </w:t>
      </w:r>
      <w:proofErr w:type="spellStart"/>
      <w:r w:rsidRPr="006A50F7">
        <w:rPr>
          <w:rFonts w:ascii="Arial" w:eastAsia="Times New Roman" w:hAnsi="Arial" w:cs="Arial"/>
          <w:sz w:val="24"/>
          <w:szCs w:val="24"/>
          <w:lang w:eastAsia="pt-BR"/>
        </w:rPr>
        <w:t>Tidd</w:t>
      </w:r>
      <w:proofErr w:type="spellEnd"/>
      <w:r w:rsidRPr="006A50F7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6A50F7">
        <w:rPr>
          <w:rFonts w:ascii="Arial" w:eastAsia="Times New Roman" w:hAnsi="Arial" w:cs="Arial"/>
          <w:sz w:val="24"/>
          <w:szCs w:val="24"/>
          <w:lang w:eastAsia="pt-BR"/>
        </w:rPr>
        <w:t>Bessant</w:t>
      </w:r>
      <w:proofErr w:type="spellEnd"/>
      <w:r w:rsidRPr="006A50F7">
        <w:rPr>
          <w:rFonts w:ascii="Arial" w:eastAsia="Times New Roman" w:hAnsi="Arial" w:cs="Arial"/>
          <w:sz w:val="24"/>
          <w:szCs w:val="24"/>
          <w:lang w:eastAsia="pt-BR"/>
        </w:rPr>
        <w:t xml:space="preserve"> e </w:t>
      </w:r>
      <w:proofErr w:type="spellStart"/>
      <w:r w:rsidRPr="006A50F7">
        <w:rPr>
          <w:rFonts w:ascii="Arial" w:eastAsia="Times New Roman" w:hAnsi="Arial" w:cs="Arial"/>
          <w:sz w:val="24"/>
          <w:szCs w:val="24"/>
          <w:lang w:eastAsia="pt-BR"/>
        </w:rPr>
        <w:t>Pavitt</w:t>
      </w:r>
      <w:proofErr w:type="spellEnd"/>
      <w:r w:rsidRPr="006A50F7">
        <w:rPr>
          <w:rFonts w:ascii="Arial" w:eastAsia="Times New Roman" w:hAnsi="Arial" w:cs="Arial"/>
          <w:sz w:val="24"/>
          <w:szCs w:val="24"/>
          <w:lang w:eastAsia="pt-BR"/>
        </w:rPr>
        <w:t xml:space="preserve"> (2008)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, que tratam da gestão da inovação; e </w:t>
      </w:r>
      <w:proofErr w:type="spellStart"/>
      <w:r w:rsidRPr="006A50F7">
        <w:rPr>
          <w:rFonts w:ascii="Arial" w:eastAsia="Times New Roman" w:hAnsi="Arial" w:cs="Arial"/>
          <w:sz w:val="24"/>
          <w:szCs w:val="24"/>
          <w:lang w:eastAsia="pt-BR"/>
        </w:rPr>
        <w:t>Teece</w:t>
      </w:r>
      <w:proofErr w:type="spellEnd"/>
      <w:r w:rsidRPr="006A50F7">
        <w:rPr>
          <w:rFonts w:ascii="Arial" w:eastAsia="Times New Roman" w:hAnsi="Arial" w:cs="Arial"/>
          <w:sz w:val="24"/>
          <w:szCs w:val="24"/>
          <w:lang w:eastAsia="pt-BR"/>
        </w:rPr>
        <w:t xml:space="preserve"> (2010)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>, que discute a ligação entre estratégia, modelo de negócio e inovação.</w:t>
      </w:r>
    </w:p>
    <w:p w14:paraId="62213027" w14:textId="77777777" w:rsidR="00CA3321" w:rsidRPr="00CA3321" w:rsidRDefault="00CA3321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t>A abordagem metodológica adotada é qualitativa, uma vez que privilegia a interpretação e a compreensão do fenômeno estudado em profundidade. Não se busca mensurar variáveis numéricas, mas compreender relações conceituais e comportamentais.</w:t>
      </w:r>
    </w:p>
    <w:p w14:paraId="2E413D95" w14:textId="401C44E0" w:rsidR="00CA3321" w:rsidRPr="00CA3321" w:rsidRDefault="00CA3321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Além da fundamentação teórica, foram utilizados </w:t>
      </w:r>
      <w:r w:rsidRPr="006A50F7">
        <w:rPr>
          <w:rFonts w:ascii="Arial" w:eastAsia="Times New Roman" w:hAnsi="Arial" w:cs="Arial"/>
          <w:sz w:val="24"/>
          <w:szCs w:val="24"/>
          <w:lang w:eastAsia="pt-BR"/>
        </w:rPr>
        <w:t>exemplos reais de empresas</w:t>
      </w:r>
      <w:r w:rsidR="006A50F7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>Google, Tesla, Natura e Embraer</w:t>
      </w:r>
      <w:r w:rsidR="006A50F7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 com o intuito de ilustrar a aplicação prática das teorias analisadas. Esses casos não foram estudados empiricamente, mas servem como referência interpretativa para demonstrar como diferentes perfis gerenciais influenciam a inovação.</w:t>
      </w:r>
    </w:p>
    <w:p w14:paraId="17E448CF" w14:textId="77777777" w:rsidR="00CA3321" w:rsidRPr="00CA3321" w:rsidRDefault="00CA3321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t>A partir desse conjunto de referências e exemplos, foi construída uma análise integradora, buscando compreender como a aversão ao risco impacta o comportamento do gestor e, consequentemente, a capacidade inovadora das organizações.</w:t>
      </w:r>
    </w:p>
    <w:p w14:paraId="2BC9F236" w14:textId="77777777" w:rsidR="00CA3321" w:rsidRPr="00CA3321" w:rsidRDefault="007B41D2" w:rsidP="00930AE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pict w14:anchorId="22DEAB09">
          <v:rect id="_x0000_i1033" style="width:0;height:1.5pt" o:hralign="center" o:hrstd="t" o:hr="t" fillcolor="#a0a0a0" stroked="f"/>
        </w:pict>
      </w:r>
    </w:p>
    <w:p w14:paraId="7D5DC041" w14:textId="632A8F0D" w:rsidR="00CA3321" w:rsidRPr="00CA3321" w:rsidRDefault="003147F5" w:rsidP="00930AE5">
      <w:pPr>
        <w:spacing w:before="100" w:beforeAutospacing="1" w:after="100" w:afterAutospacing="1" w:line="360" w:lineRule="auto"/>
        <w:jc w:val="both"/>
        <w:outlineLvl w:val="1"/>
        <w:rPr>
          <w:rFonts w:ascii="Arial" w:eastAsia="Times New Roman" w:hAnsi="Arial" w:cs="Arial"/>
          <w:b/>
          <w:bCs/>
          <w:sz w:val="36"/>
          <w:szCs w:val="36"/>
          <w:lang w:eastAsia="pt-BR"/>
        </w:rPr>
      </w:pPr>
      <w:r>
        <w:rPr>
          <w:rFonts w:ascii="Arial" w:eastAsia="Times New Roman" w:hAnsi="Arial" w:cs="Arial"/>
          <w:b/>
          <w:bCs/>
          <w:sz w:val="36"/>
          <w:szCs w:val="36"/>
          <w:lang w:eastAsia="pt-BR"/>
        </w:rPr>
        <w:t>5</w:t>
      </w:r>
      <w:r w:rsidR="00CA3321" w:rsidRPr="00CA3321">
        <w:rPr>
          <w:rFonts w:ascii="Arial" w:eastAsia="Times New Roman" w:hAnsi="Arial" w:cs="Arial"/>
          <w:b/>
          <w:bCs/>
          <w:sz w:val="36"/>
          <w:szCs w:val="36"/>
          <w:lang w:eastAsia="pt-BR"/>
        </w:rPr>
        <w:t>. CONSIDERAÇÕES FINAIS</w:t>
      </w:r>
    </w:p>
    <w:p w14:paraId="10A57820" w14:textId="77777777" w:rsidR="00CA3321" w:rsidRPr="00CA3321" w:rsidRDefault="00CA3321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t>A análise realizada neste trabalho evidencia que a aversão ao risco é um fator determinante no comportamento dos gestores e exerce influência direta sobre a inovação e o crescimento organizacional. A partir da revisão teórica e dos exemplos práticos, constatou-se que a postura do gestor diante da incerteza pode impulsionar ou restringir o potencial inovador das empresas.</w:t>
      </w:r>
    </w:p>
    <w:p w14:paraId="36FE1681" w14:textId="77777777" w:rsidR="00CA3321" w:rsidRPr="00CA3321" w:rsidRDefault="00CA3321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O estudo de </w:t>
      </w:r>
      <w:r w:rsidRPr="006A50F7">
        <w:rPr>
          <w:rFonts w:ascii="Arial" w:eastAsia="Times New Roman" w:hAnsi="Arial" w:cs="Arial"/>
          <w:sz w:val="24"/>
          <w:szCs w:val="24"/>
          <w:lang w:eastAsia="pt-BR"/>
        </w:rPr>
        <w:t xml:space="preserve">Kahneman e </w:t>
      </w:r>
      <w:proofErr w:type="spellStart"/>
      <w:r w:rsidRPr="006A50F7">
        <w:rPr>
          <w:rFonts w:ascii="Arial" w:eastAsia="Times New Roman" w:hAnsi="Arial" w:cs="Arial"/>
          <w:sz w:val="24"/>
          <w:szCs w:val="24"/>
          <w:lang w:eastAsia="pt-BR"/>
        </w:rPr>
        <w:t>Tversky</w:t>
      </w:r>
      <w:proofErr w:type="spellEnd"/>
      <w:r w:rsidRPr="006A50F7">
        <w:rPr>
          <w:rFonts w:ascii="Arial" w:eastAsia="Times New Roman" w:hAnsi="Arial" w:cs="Arial"/>
          <w:sz w:val="24"/>
          <w:szCs w:val="24"/>
          <w:lang w:eastAsia="pt-BR"/>
        </w:rPr>
        <w:t xml:space="preserve"> (1979)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 demonstra que o ser humano tende a evitar riscos para prevenir perdas, comportamento que também se reflete nas decisões organizacionais. Quando essa característica é levada ao extremo, a empresa tende à estagnação e à perda de competitividade. No entanto, a ausência total de cautela pode levar a decisões precipitadas e ao comprometimento de recursos. O equilíbrio entre prudência e ousadia, portanto, constitui o ponto ótimo da gestão estratégica sob risco.</w:t>
      </w:r>
    </w:p>
    <w:p w14:paraId="4CB21327" w14:textId="77777777" w:rsidR="00CA3321" w:rsidRPr="00CA3321" w:rsidRDefault="00CA3321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A contribuição de </w:t>
      </w:r>
      <w:r w:rsidRPr="006A50F7">
        <w:rPr>
          <w:rFonts w:ascii="Arial" w:eastAsia="Times New Roman" w:hAnsi="Arial" w:cs="Arial"/>
          <w:sz w:val="24"/>
          <w:szCs w:val="24"/>
          <w:lang w:eastAsia="pt-BR"/>
        </w:rPr>
        <w:t xml:space="preserve">Fagundes, </w:t>
      </w:r>
      <w:proofErr w:type="spellStart"/>
      <w:r w:rsidRPr="006A50F7">
        <w:rPr>
          <w:rFonts w:ascii="Arial" w:eastAsia="Times New Roman" w:hAnsi="Arial" w:cs="Arial"/>
          <w:sz w:val="24"/>
          <w:szCs w:val="24"/>
          <w:lang w:eastAsia="pt-BR"/>
        </w:rPr>
        <w:t>Schnorrenberger</w:t>
      </w:r>
      <w:proofErr w:type="spellEnd"/>
      <w:r w:rsidRPr="006A50F7">
        <w:rPr>
          <w:rFonts w:ascii="Arial" w:eastAsia="Times New Roman" w:hAnsi="Arial" w:cs="Arial"/>
          <w:sz w:val="24"/>
          <w:szCs w:val="24"/>
          <w:lang w:eastAsia="pt-BR"/>
        </w:rPr>
        <w:t xml:space="preserve"> e </w:t>
      </w:r>
      <w:proofErr w:type="spellStart"/>
      <w:r w:rsidRPr="006A50F7">
        <w:rPr>
          <w:rFonts w:ascii="Arial" w:eastAsia="Times New Roman" w:hAnsi="Arial" w:cs="Arial"/>
          <w:sz w:val="24"/>
          <w:szCs w:val="24"/>
          <w:lang w:eastAsia="pt-BR"/>
        </w:rPr>
        <w:t>Lunkes</w:t>
      </w:r>
      <w:proofErr w:type="spellEnd"/>
      <w:r w:rsidRPr="006A50F7">
        <w:rPr>
          <w:rFonts w:ascii="Arial" w:eastAsia="Times New Roman" w:hAnsi="Arial" w:cs="Arial"/>
          <w:sz w:val="24"/>
          <w:szCs w:val="24"/>
          <w:lang w:eastAsia="pt-BR"/>
        </w:rPr>
        <w:t xml:space="preserve"> (2019)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 reforça que fatores psicológicos e culturais moldam o comportamento gerencial. O gestor é tanto produto quanto agente do ambiente em que atua: sua percepção de risco é influenciada pela cultura organizacional, ao mesmo tempo em que sua postura influencia a cultura de inovação da empresa. Organizações que 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lastRenderedPageBreak/>
        <w:t>valorizam o aprendizado, a autonomia e a experimentação formam líderes mais dispostos a inovar, enquanto aquelas que penalizam o erro produzem gestores conservadores e resistentes à mudança.</w:t>
      </w:r>
    </w:p>
    <w:p w14:paraId="66959329" w14:textId="77777777" w:rsidR="00CA3321" w:rsidRPr="00CA3321" w:rsidRDefault="00CA3321" w:rsidP="006A50F7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spellStart"/>
      <w:r w:rsidRPr="006A50F7">
        <w:rPr>
          <w:rFonts w:ascii="Arial" w:eastAsia="Times New Roman" w:hAnsi="Arial" w:cs="Arial"/>
          <w:sz w:val="24"/>
          <w:szCs w:val="24"/>
          <w:lang w:eastAsia="pt-BR"/>
        </w:rPr>
        <w:t>Tidd</w:t>
      </w:r>
      <w:proofErr w:type="spellEnd"/>
      <w:r w:rsidRPr="006A50F7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6A50F7">
        <w:rPr>
          <w:rFonts w:ascii="Arial" w:eastAsia="Times New Roman" w:hAnsi="Arial" w:cs="Arial"/>
          <w:sz w:val="24"/>
          <w:szCs w:val="24"/>
          <w:lang w:eastAsia="pt-BR"/>
        </w:rPr>
        <w:t>Bessant</w:t>
      </w:r>
      <w:proofErr w:type="spellEnd"/>
      <w:r w:rsidRPr="006A50F7">
        <w:rPr>
          <w:rFonts w:ascii="Arial" w:eastAsia="Times New Roman" w:hAnsi="Arial" w:cs="Arial"/>
          <w:sz w:val="24"/>
          <w:szCs w:val="24"/>
          <w:lang w:eastAsia="pt-BR"/>
        </w:rPr>
        <w:t xml:space="preserve"> e </w:t>
      </w:r>
      <w:proofErr w:type="spellStart"/>
      <w:r w:rsidRPr="006A50F7">
        <w:rPr>
          <w:rFonts w:ascii="Arial" w:eastAsia="Times New Roman" w:hAnsi="Arial" w:cs="Arial"/>
          <w:sz w:val="24"/>
          <w:szCs w:val="24"/>
          <w:lang w:eastAsia="pt-BR"/>
        </w:rPr>
        <w:t>Pavitt</w:t>
      </w:r>
      <w:proofErr w:type="spellEnd"/>
      <w:r w:rsidRPr="006A50F7">
        <w:rPr>
          <w:rFonts w:ascii="Arial" w:eastAsia="Times New Roman" w:hAnsi="Arial" w:cs="Arial"/>
          <w:sz w:val="24"/>
          <w:szCs w:val="24"/>
          <w:lang w:eastAsia="pt-BR"/>
        </w:rPr>
        <w:t xml:space="preserve"> (2008)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 enfatizam que a inovação é um processo sistêmico que requer liderança e estrutura. Inovar não se resume a criar novas ideias, mas envolve a implementação de processos, produtos e serviços que gerem valor. A inovação, portanto, depende de um ambiente favorável, com líderes capazes de gerenciar o risco de forma inteligente e estratégica.</w:t>
      </w:r>
    </w:p>
    <w:p w14:paraId="133B7D7D" w14:textId="77777777" w:rsidR="00CA3321" w:rsidRPr="00CA3321" w:rsidRDefault="00CA3321" w:rsidP="00930AE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Já </w:t>
      </w:r>
      <w:proofErr w:type="spellStart"/>
      <w:r w:rsidRPr="006A50F7">
        <w:rPr>
          <w:rFonts w:ascii="Arial" w:eastAsia="Times New Roman" w:hAnsi="Arial" w:cs="Arial"/>
          <w:sz w:val="24"/>
          <w:szCs w:val="24"/>
          <w:lang w:eastAsia="pt-BR"/>
        </w:rPr>
        <w:t>Teece</w:t>
      </w:r>
      <w:proofErr w:type="spellEnd"/>
      <w:r w:rsidRPr="006A50F7">
        <w:rPr>
          <w:rFonts w:ascii="Arial" w:eastAsia="Times New Roman" w:hAnsi="Arial" w:cs="Arial"/>
          <w:sz w:val="24"/>
          <w:szCs w:val="24"/>
          <w:lang w:eastAsia="pt-BR"/>
        </w:rPr>
        <w:t xml:space="preserve"> (2010)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 contribui com a perspectiva estratégica da inovação, ressaltando que o sucesso depende da capacidade de capturar valor a partir de ideias criativas. Para isso, o gestor precisa compreender o mercado, monitorar tendências e adaptar modelos de negócio continuamente. A aversão ao risco, nesse contexto, pode representar tanto um obstáculo quanto um mecanismo de proteção contra falhas dispendiosas.</w:t>
      </w:r>
    </w:p>
    <w:p w14:paraId="6C49E5F8" w14:textId="77777777" w:rsidR="00CA3321" w:rsidRPr="00CA3321" w:rsidRDefault="00CA3321" w:rsidP="00930AE5">
      <w:pPr>
        <w:spacing w:before="100" w:beforeAutospacing="1" w:after="100" w:afterAutospacing="1" w:line="36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Por sua vez, </w:t>
      </w:r>
      <w:proofErr w:type="spellStart"/>
      <w:r w:rsidRPr="006A50F7">
        <w:rPr>
          <w:rFonts w:ascii="Arial" w:eastAsia="Times New Roman" w:hAnsi="Arial" w:cs="Arial"/>
          <w:sz w:val="24"/>
          <w:szCs w:val="24"/>
          <w:lang w:eastAsia="pt-BR"/>
        </w:rPr>
        <w:t>Meroño-Cerdán</w:t>
      </w:r>
      <w:proofErr w:type="spellEnd"/>
      <w:r w:rsidRPr="006A50F7">
        <w:rPr>
          <w:rFonts w:ascii="Arial" w:eastAsia="Times New Roman" w:hAnsi="Arial" w:cs="Arial"/>
          <w:sz w:val="24"/>
          <w:szCs w:val="24"/>
          <w:lang w:eastAsia="pt-BR"/>
        </w:rPr>
        <w:t>, López-Nicolás e Molina-Castillo (2017)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 demonstram que o tipo de organização influencia a postura diante do risco. Empresas familiares, por exemplo, tendem a apresentar níveis mais altos de aversão, devido à preocupação com a preservação do patrimônio. Entretanto, quando ocorre a profissionalização da gestão, há maior propensão à inovação e à expansão dos negócios.</w:t>
      </w:r>
    </w:p>
    <w:p w14:paraId="6A0858D2" w14:textId="77777777" w:rsidR="00CA3321" w:rsidRPr="00CA3321" w:rsidRDefault="00CA3321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As empresas analisadas — Google, Tesla, Natura e Embraer — ilustram de forma prática as diferentes formas de lidar com o risco. O Google adota uma cultura de liberdade criativa e experimentação, onde o erro é visto como parte do processo de aprendizado. A Tesla, sob liderança de </w:t>
      </w:r>
      <w:proofErr w:type="spellStart"/>
      <w:r w:rsidRPr="00CA3321">
        <w:rPr>
          <w:rFonts w:ascii="Arial" w:eastAsia="Times New Roman" w:hAnsi="Arial" w:cs="Arial"/>
          <w:sz w:val="24"/>
          <w:szCs w:val="24"/>
          <w:lang w:eastAsia="pt-BR"/>
        </w:rPr>
        <w:t>Elon</w:t>
      </w:r>
      <w:proofErr w:type="spellEnd"/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 Musk, representa o extremo oposto, investindo em projetos de alto risco e elevado impacto, apostando em tecnologias disruptivas. A Natura combina prudência e inovação, mantendo foco em sustentabilidade e responsabilidade social. Já a Embraer exemplifica a gestão equilibrada do risco em um setor altamente complexo, unindo análise técnica e inovação tecnológica.</w:t>
      </w:r>
    </w:p>
    <w:p w14:paraId="5D4468B3" w14:textId="77777777" w:rsidR="00CA3321" w:rsidRPr="00CA3321" w:rsidRDefault="00CA3321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lastRenderedPageBreak/>
        <w:t>Esses casos demonstram que não existe uma única forma correta de lidar com o risco. O sucesso depende da coerência entre o perfil do gestor, a cultura organizacional e o contexto do mercado. Gestores que compreendem o risco como parte inerente da inovação e adotam mecanismos adequados de mitigação tendem a gerar resultados sustentáveis e duradouros.</w:t>
      </w:r>
    </w:p>
    <w:p w14:paraId="247170E6" w14:textId="77777777" w:rsidR="00CA3321" w:rsidRPr="00CA3321" w:rsidRDefault="00CA3321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Além disso, este estudo reforça a importância da </w:t>
      </w:r>
      <w:r w:rsidRPr="00CA332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educação gerencial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 e do </w:t>
      </w:r>
      <w:r w:rsidRPr="00CA332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desenvolvimento de competências emocionais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 para a tomada de decisão sob incerteza. A formação de gestores que saibam avaliar riscos de forma racional, sem se deixar dominar pelo medo, é fundamental para a competitividade empresarial.</w:t>
      </w:r>
    </w:p>
    <w:p w14:paraId="2F04E12D" w14:textId="77777777" w:rsidR="00CA3321" w:rsidRPr="00CA3321" w:rsidRDefault="00CA3321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Por fim, conclui-se que o equilíbrio entre </w:t>
      </w:r>
      <w:r w:rsidRPr="00CA332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aversão e propensão ao risco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 é uma das chaves para o crescimento organizacional sustentável. O gestor deve aprender a transformar o risco em oportunidade, adotando uma postura estratégica que combine análise técnica, sensibilidade humana e visão de futuro. Somente assim a inovação pode florescer como motor de transformação e desenvolvimento empresarial.</w:t>
      </w:r>
    </w:p>
    <w:p w14:paraId="026D7363" w14:textId="3E61DDCE" w:rsidR="00CA3321" w:rsidRPr="00CA3321" w:rsidRDefault="00CA3321" w:rsidP="00EA5812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t>Embora o presente trabalho ofereça contribuições relevantes para a compreensão da relação entre aversão ao risco e inovação, é importante reconhecer suas limitações. Por tratar-se de uma revisão bibliográfica, não foram realizadas análises empíricas ou quantitativas que comprovassem estatisticamente as hipóteses levantadas.</w:t>
      </w:r>
    </w:p>
    <w:p w14:paraId="3BF0547D" w14:textId="77777777" w:rsidR="00CA3321" w:rsidRPr="00CA3321" w:rsidRDefault="00CA3321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t>Sugere-se que pesquisas futuras adotem metodologias mistas, combinando levantamentos quantitativos com entrevistas qualitativas, para avaliar de forma mais aprofundada o impacto da aversão ao risco sobre os resultados da inovação. Estudos comparativos entre empresas de diferentes setores e portes também poderiam enriquecer a compreensão do tema, identificando padrões e variáveis contextuais.</w:t>
      </w:r>
    </w:p>
    <w:p w14:paraId="0DE609BF" w14:textId="77777777" w:rsidR="00CA3321" w:rsidRPr="00CA3321" w:rsidRDefault="00CA3321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Além disso, seria relevante investigar como fatores externos — como crises econômicas, avanços tecnológicos e políticas públicas de inovação — influenciam a relação entre risco, decisão e inovação empresarial. Tais estudos 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lastRenderedPageBreak/>
        <w:t>poderiam contribuir para o desenvolvimento de políticas corporativas e educacionais voltadas à formação de gestores mais resilientes e inovadores.</w:t>
      </w:r>
    </w:p>
    <w:p w14:paraId="42E1DC50" w14:textId="77777777" w:rsidR="00CA3321" w:rsidRPr="00CA3321" w:rsidRDefault="00CA3321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t>A presente pesquisa evidenciou que o comportamento do gestor é um dos fatores mais influentes no desempenho inovador das empresas. A aversão ao risco, embora necessária em determinados contextos, deve ser administrada com inteligência e flexibilidade. Quando excessiva, transforma-se em barreira à criatividade e à adaptação; quando ausente, gera vulnerabilidade e instabilidade.</w:t>
      </w:r>
    </w:p>
    <w:p w14:paraId="6DCDB4D0" w14:textId="77777777" w:rsidR="00CA3321" w:rsidRPr="00CA3321" w:rsidRDefault="00CA3321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t>Os autores analisados convergem ao afirmar que a inovação é um processo complexo que requer tanto planejamento estratégico quanto coragem gerencial. O gestor deve compreender que o risco é inerente ao progresso e que o erro, quando analisado e corrigido, é fonte de aprendizado e crescimento.</w:t>
      </w:r>
    </w:p>
    <w:p w14:paraId="079E81E8" w14:textId="77777777" w:rsidR="00CA3321" w:rsidRPr="00CA3321" w:rsidRDefault="00CA3321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t>Empresas que cultivam culturas organizacionais abertas, colaborativas e orientadas ao aprendizado tendem a apresentar melhores resultados em inovação. O gestor moderno precisa, portanto, atuar como facilitador, mediando interesses, incentivando a criatividade e reduzindo o medo do fracasso.</w:t>
      </w:r>
    </w:p>
    <w:p w14:paraId="66EA5BF3" w14:textId="77777777" w:rsidR="00CA3321" w:rsidRPr="00CA3321" w:rsidRDefault="00CA3321" w:rsidP="00A869EC">
      <w:pPr>
        <w:spacing w:before="100" w:beforeAutospacing="1" w:after="100" w:afterAutospacing="1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t>Conclui-se que a inovação, para ser sustentável, depende da existência de líderes conscientes, capazes de equilibrar razão e intuição, prudência e ousadia. O futuro das organizações está nas mãos de gestores que veem o risco não como obstáculo, mas como oportunidade para evoluir.</w:t>
      </w:r>
    </w:p>
    <w:p w14:paraId="47D65BBC" w14:textId="77777777" w:rsidR="00CA3321" w:rsidRPr="00CA3321" w:rsidRDefault="007B41D2" w:rsidP="00930AE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pict w14:anchorId="23ED6679">
          <v:rect id="_x0000_i1034" style="width:0;height:1.5pt" o:hralign="center" o:hrstd="t" o:hr="t" fillcolor="#a0a0a0" stroked="f"/>
        </w:pict>
      </w:r>
    </w:p>
    <w:p w14:paraId="058A08B4" w14:textId="77777777" w:rsidR="00CA3321" w:rsidRPr="00CA3321" w:rsidRDefault="00CA3321" w:rsidP="00930AE5">
      <w:pPr>
        <w:spacing w:before="100" w:beforeAutospacing="1" w:after="100" w:afterAutospacing="1" w:line="360" w:lineRule="auto"/>
        <w:jc w:val="both"/>
        <w:outlineLvl w:val="1"/>
        <w:rPr>
          <w:rFonts w:ascii="Arial" w:eastAsia="Times New Roman" w:hAnsi="Arial" w:cs="Arial"/>
          <w:b/>
          <w:bCs/>
          <w:sz w:val="36"/>
          <w:szCs w:val="36"/>
          <w:lang w:eastAsia="pt-BR"/>
        </w:rPr>
      </w:pPr>
      <w:r w:rsidRPr="00CA3321">
        <w:rPr>
          <w:rFonts w:ascii="Arial" w:eastAsia="Times New Roman" w:hAnsi="Arial" w:cs="Arial"/>
          <w:b/>
          <w:bCs/>
          <w:sz w:val="36"/>
          <w:szCs w:val="36"/>
          <w:lang w:eastAsia="pt-BR"/>
        </w:rPr>
        <w:t>REFERÊNCIAS</w:t>
      </w:r>
    </w:p>
    <w:p w14:paraId="1B7C86DB" w14:textId="4FDC4F74" w:rsidR="00CA3321" w:rsidRPr="00CA3321" w:rsidRDefault="00CA3321" w:rsidP="00930AE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FAGUNDES, J. F.; SCHNORRENBERGER, D.; LUNKES, R. J. </w:t>
      </w:r>
      <w:r w:rsidRPr="00CA3321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Aversão ao risco na tomada de decisões organizacionais: análise da literatura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CA332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Revista de Administração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>, 2019.</w:t>
      </w:r>
      <w:r w:rsidR="00BC3839" w:rsidRPr="00BC3839">
        <w:t xml:space="preserve"> </w:t>
      </w:r>
    </w:p>
    <w:p w14:paraId="134E5282" w14:textId="706E6540" w:rsidR="00CA3321" w:rsidRPr="00CA3321" w:rsidRDefault="00CA3321" w:rsidP="00930AE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KAHNEMAN, D.; TVERSKY, A. </w:t>
      </w:r>
      <w:r w:rsidRPr="00CA3321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Prospect </w:t>
      </w:r>
      <w:proofErr w:type="spellStart"/>
      <w:r w:rsidRPr="00CA3321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Theory</w:t>
      </w:r>
      <w:proofErr w:type="spellEnd"/>
      <w:r w:rsidRPr="00CA3321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: </w:t>
      </w:r>
      <w:proofErr w:type="spellStart"/>
      <w:r w:rsidRPr="00CA3321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An</w:t>
      </w:r>
      <w:proofErr w:type="spellEnd"/>
      <w:r w:rsidRPr="00CA3321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 </w:t>
      </w:r>
      <w:proofErr w:type="spellStart"/>
      <w:r w:rsidRPr="00CA3321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Analysis</w:t>
      </w:r>
      <w:proofErr w:type="spellEnd"/>
      <w:r w:rsidRPr="00CA3321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 </w:t>
      </w:r>
      <w:proofErr w:type="spellStart"/>
      <w:r w:rsidRPr="00CA3321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of</w:t>
      </w:r>
      <w:proofErr w:type="spellEnd"/>
      <w:r w:rsidRPr="00CA3321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 </w:t>
      </w:r>
      <w:proofErr w:type="spellStart"/>
      <w:r w:rsidRPr="00CA3321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Decision</w:t>
      </w:r>
      <w:proofErr w:type="spellEnd"/>
      <w:r w:rsidRPr="00CA3321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 </w:t>
      </w:r>
      <w:proofErr w:type="spellStart"/>
      <w:r w:rsidRPr="00CA3321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under</w:t>
      </w:r>
      <w:proofErr w:type="spellEnd"/>
      <w:r w:rsidRPr="00CA3321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 Risk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proofErr w:type="spellStart"/>
      <w:r w:rsidRPr="00CA332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Econometrica</w:t>
      </w:r>
      <w:proofErr w:type="spellEnd"/>
      <w:r w:rsidRPr="00CA3321">
        <w:rPr>
          <w:rFonts w:ascii="Arial" w:eastAsia="Times New Roman" w:hAnsi="Arial" w:cs="Arial"/>
          <w:sz w:val="24"/>
          <w:szCs w:val="24"/>
          <w:lang w:eastAsia="pt-BR"/>
        </w:rPr>
        <w:t>, v. 47, n. 2, p. 263–291, 1979.</w:t>
      </w:r>
      <w:r w:rsidR="00BC3839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14:paraId="3EBFFBA0" w14:textId="77777777" w:rsidR="00CA3321" w:rsidRPr="00CA3321" w:rsidRDefault="00CA3321" w:rsidP="00930AE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MEROÑO-CERDÁN, A. L.; LÓPEZ-NICOLÁS, C.; MOLINA-CASTILLO, F. J. </w:t>
      </w:r>
      <w:r w:rsidRPr="00CA3321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Risk </w:t>
      </w:r>
      <w:proofErr w:type="spellStart"/>
      <w:r w:rsidRPr="00CA3321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Aversion</w:t>
      </w:r>
      <w:proofErr w:type="spellEnd"/>
      <w:r w:rsidRPr="00CA3321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, </w:t>
      </w:r>
      <w:proofErr w:type="spellStart"/>
      <w:r w:rsidRPr="00CA3321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Innovation</w:t>
      </w:r>
      <w:proofErr w:type="spellEnd"/>
      <w:r w:rsidRPr="00CA3321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 </w:t>
      </w:r>
      <w:proofErr w:type="spellStart"/>
      <w:r w:rsidRPr="00CA3321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and</w:t>
      </w:r>
      <w:proofErr w:type="spellEnd"/>
      <w:r w:rsidRPr="00CA3321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 Performance in Family </w:t>
      </w:r>
      <w:proofErr w:type="spellStart"/>
      <w:r w:rsidRPr="00CA3321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Firms</w:t>
      </w:r>
      <w:proofErr w:type="spellEnd"/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proofErr w:type="spellStart"/>
      <w:r w:rsidRPr="00CA332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Economics</w:t>
      </w:r>
      <w:proofErr w:type="spellEnd"/>
      <w:r w:rsidRPr="00CA332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proofErr w:type="spellStart"/>
      <w:r w:rsidRPr="00CA332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of</w:t>
      </w:r>
      <w:proofErr w:type="spellEnd"/>
      <w:r w:rsidRPr="00CA332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proofErr w:type="spellStart"/>
      <w:r w:rsidRPr="00CA332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Innovation</w:t>
      </w:r>
      <w:proofErr w:type="spellEnd"/>
      <w:r w:rsidRPr="00CA332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proofErr w:type="spellStart"/>
      <w:r w:rsidRPr="00CA332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and</w:t>
      </w:r>
      <w:proofErr w:type="spellEnd"/>
      <w:r w:rsidRPr="00CA332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New Technology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>, v. 26, n. 5, p. 461–480, 2017.</w:t>
      </w:r>
    </w:p>
    <w:p w14:paraId="6624FE04" w14:textId="77777777" w:rsidR="00CA3321" w:rsidRPr="00CA3321" w:rsidRDefault="00CA3321" w:rsidP="00930AE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TIDD, J.; BESSANT, J.; PAVITT, K. </w:t>
      </w:r>
      <w:r w:rsidRPr="00CA3321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Gestão da Inovação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>. 3. ed. Porto Alegre: Bookman, 2008.</w:t>
      </w:r>
    </w:p>
    <w:p w14:paraId="3431D7F0" w14:textId="77777777" w:rsidR="00CA3321" w:rsidRPr="00CA3321" w:rsidRDefault="00CA3321" w:rsidP="00930AE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TEECE, D. </w:t>
      </w:r>
      <w:r w:rsidRPr="00CA3321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Business Models, Business </w:t>
      </w:r>
      <w:proofErr w:type="spellStart"/>
      <w:r w:rsidRPr="00CA3321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Strategy</w:t>
      </w:r>
      <w:proofErr w:type="spellEnd"/>
      <w:r w:rsidRPr="00CA3321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 </w:t>
      </w:r>
      <w:proofErr w:type="spellStart"/>
      <w:r w:rsidRPr="00CA3321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and</w:t>
      </w:r>
      <w:proofErr w:type="spellEnd"/>
      <w:r w:rsidRPr="00CA3321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 </w:t>
      </w:r>
      <w:proofErr w:type="spellStart"/>
      <w:r w:rsidRPr="00CA3321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Innovation</w:t>
      </w:r>
      <w:proofErr w:type="spellEnd"/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proofErr w:type="spellStart"/>
      <w:r w:rsidRPr="00CA332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Long</w:t>
      </w:r>
      <w:proofErr w:type="spellEnd"/>
      <w:r w:rsidRPr="00CA332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Range Planning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>, v. 43, n. 2–3, p. 172–194, 2010.</w:t>
      </w:r>
    </w:p>
    <w:p w14:paraId="7735EF05" w14:textId="6F428BB3" w:rsidR="00CA3321" w:rsidRDefault="00CA3321" w:rsidP="00930AE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A3321">
        <w:rPr>
          <w:rFonts w:ascii="Arial" w:eastAsia="Times New Roman" w:hAnsi="Arial" w:cs="Arial"/>
          <w:sz w:val="24"/>
          <w:szCs w:val="24"/>
          <w:lang w:eastAsia="pt-BR"/>
        </w:rPr>
        <w:t xml:space="preserve">GIL, A. C. </w:t>
      </w:r>
      <w:r w:rsidRPr="00CA3321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Métodos e técnicas de pesquisa social</w:t>
      </w:r>
      <w:r w:rsidRPr="00CA3321">
        <w:rPr>
          <w:rFonts w:ascii="Arial" w:eastAsia="Times New Roman" w:hAnsi="Arial" w:cs="Arial"/>
          <w:sz w:val="24"/>
          <w:szCs w:val="24"/>
          <w:lang w:eastAsia="pt-BR"/>
        </w:rPr>
        <w:t>. 6. ed. São Paulo: Atlas, 2017.</w:t>
      </w:r>
    </w:p>
    <w:p w14:paraId="66F63694" w14:textId="109E984E" w:rsidR="00BC3839" w:rsidRPr="00BC3839" w:rsidRDefault="00BC3839" w:rsidP="00930AE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pt-BR"/>
        </w:rPr>
      </w:pPr>
      <w:proofErr w:type="spellStart"/>
      <w:r w:rsidRPr="00BC3839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Competitive</w:t>
      </w:r>
      <w:proofErr w:type="spellEnd"/>
      <w:r w:rsidRPr="00BC3839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 </w:t>
      </w:r>
      <w:proofErr w:type="spellStart"/>
      <w:r w:rsidRPr="00BC3839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Strategy</w:t>
      </w:r>
      <w:proofErr w:type="spellEnd"/>
      <w:r w:rsidRPr="00BC3839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: </w:t>
      </w:r>
      <w:proofErr w:type="spellStart"/>
      <w:r w:rsidRPr="00BC3839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Techniques</w:t>
      </w:r>
      <w:proofErr w:type="spellEnd"/>
      <w:r w:rsidRPr="00BC3839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 for </w:t>
      </w:r>
      <w:proofErr w:type="spellStart"/>
      <w:r w:rsidRPr="00BC3839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Analyzing</w:t>
      </w:r>
      <w:proofErr w:type="spellEnd"/>
      <w:r w:rsidRPr="00BC3839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 Industries </w:t>
      </w:r>
      <w:proofErr w:type="spellStart"/>
      <w:r w:rsidRPr="00BC3839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and</w:t>
      </w:r>
      <w:proofErr w:type="spellEnd"/>
      <w:r w:rsidRPr="00BC3839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 </w:t>
      </w:r>
      <w:proofErr w:type="spellStart"/>
      <w:r w:rsidRPr="00BC3839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Competitors</w:t>
      </w:r>
      <w:proofErr w:type="spellEnd"/>
      <w:r w:rsidRPr="00BC3839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 — M. E. Porter (1980): </w:t>
      </w:r>
    </w:p>
    <w:p w14:paraId="5AB8C8AF" w14:textId="21DC4E4C" w:rsidR="00D23126" w:rsidRPr="00930AE5" w:rsidRDefault="00D23126" w:rsidP="00930AE5">
      <w:pPr>
        <w:spacing w:line="360" w:lineRule="auto"/>
        <w:rPr>
          <w:rFonts w:ascii="Arial" w:hAnsi="Arial" w:cs="Arial"/>
        </w:rPr>
      </w:pPr>
    </w:p>
    <w:sectPr w:rsidR="00D23126" w:rsidRPr="00930AE5" w:rsidSect="00353827">
      <w:headerReference w:type="default" r:id="rId9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3A1FF" w14:textId="77777777" w:rsidR="007B41D2" w:rsidRDefault="007B41D2" w:rsidP="0064292E">
      <w:pPr>
        <w:spacing w:after="0" w:line="240" w:lineRule="auto"/>
      </w:pPr>
      <w:r>
        <w:separator/>
      </w:r>
    </w:p>
  </w:endnote>
  <w:endnote w:type="continuationSeparator" w:id="0">
    <w:p w14:paraId="17025752" w14:textId="77777777" w:rsidR="007B41D2" w:rsidRDefault="007B41D2" w:rsidP="00642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2212F" w14:textId="77777777" w:rsidR="007B41D2" w:rsidRDefault="007B41D2" w:rsidP="0064292E">
      <w:pPr>
        <w:spacing w:after="0" w:line="240" w:lineRule="auto"/>
      </w:pPr>
      <w:r>
        <w:separator/>
      </w:r>
    </w:p>
  </w:footnote>
  <w:footnote w:type="continuationSeparator" w:id="0">
    <w:p w14:paraId="51DF819E" w14:textId="77777777" w:rsidR="007B41D2" w:rsidRDefault="007B41D2" w:rsidP="00642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6507886"/>
      <w:docPartObj>
        <w:docPartGallery w:val="Page Numbers (Top of Page)"/>
        <w:docPartUnique/>
      </w:docPartObj>
    </w:sdtPr>
    <w:sdtContent>
      <w:p w14:paraId="2E0AC8D7" w14:textId="7C83699F" w:rsidR="0064292E" w:rsidRDefault="0064292E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EAA7FD" w14:textId="77777777" w:rsidR="0064292E" w:rsidRDefault="0064292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78" style="width:0;height:1.5pt" o:hralign="center" o:bullet="t" o:hrstd="t" o:hr="t" fillcolor="#a0a0a0" stroked="f"/>
    </w:pict>
  </w:numPicBullet>
  <w:abstractNum w:abstractNumId="0" w15:restartNumberingAfterBreak="0">
    <w:nsid w:val="14257CCC"/>
    <w:multiLevelType w:val="multilevel"/>
    <w:tmpl w:val="D7045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5E46E4"/>
    <w:multiLevelType w:val="multilevel"/>
    <w:tmpl w:val="AC223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9F39F4"/>
    <w:multiLevelType w:val="multilevel"/>
    <w:tmpl w:val="F96E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345700"/>
    <w:multiLevelType w:val="hybridMultilevel"/>
    <w:tmpl w:val="F70C27C4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B0452B"/>
    <w:multiLevelType w:val="hybridMultilevel"/>
    <w:tmpl w:val="41920324"/>
    <w:lvl w:ilvl="0" w:tplc="7B782E3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5343E"/>
    <w:multiLevelType w:val="multilevel"/>
    <w:tmpl w:val="F4843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321"/>
    <w:rsid w:val="00016488"/>
    <w:rsid w:val="00091A5D"/>
    <w:rsid w:val="00113B3D"/>
    <w:rsid w:val="00117C21"/>
    <w:rsid w:val="002F6864"/>
    <w:rsid w:val="003147F5"/>
    <w:rsid w:val="00353827"/>
    <w:rsid w:val="00353A5C"/>
    <w:rsid w:val="00394AB1"/>
    <w:rsid w:val="00414453"/>
    <w:rsid w:val="0064292E"/>
    <w:rsid w:val="00695EC7"/>
    <w:rsid w:val="006A50F7"/>
    <w:rsid w:val="006D3F6F"/>
    <w:rsid w:val="007B41D2"/>
    <w:rsid w:val="00930AE5"/>
    <w:rsid w:val="00A01497"/>
    <w:rsid w:val="00A65295"/>
    <w:rsid w:val="00A869EC"/>
    <w:rsid w:val="00BA3F32"/>
    <w:rsid w:val="00BC3839"/>
    <w:rsid w:val="00CA3321"/>
    <w:rsid w:val="00CB1A17"/>
    <w:rsid w:val="00D012EA"/>
    <w:rsid w:val="00D23126"/>
    <w:rsid w:val="00EA5812"/>
    <w:rsid w:val="00F17EF7"/>
    <w:rsid w:val="00FC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B908F"/>
  <w15:chartTrackingRefBased/>
  <w15:docId w15:val="{37B973AD-B34B-4982-B742-CD3E59714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CA33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CA33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CA33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A3321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CA3321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A3321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Forte">
    <w:name w:val="Strong"/>
    <w:basedOn w:val="Fontepargpadro"/>
    <w:uiPriority w:val="22"/>
    <w:qFormat/>
    <w:rsid w:val="00CA332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A3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CA3321"/>
    <w:rPr>
      <w:i/>
      <w:iCs/>
    </w:rPr>
  </w:style>
  <w:style w:type="character" w:styleId="Hyperlink">
    <w:name w:val="Hyperlink"/>
    <w:basedOn w:val="Fontepargpadro"/>
    <w:uiPriority w:val="99"/>
    <w:unhideWhenUsed/>
    <w:rsid w:val="00BC3839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C3839"/>
    <w:rPr>
      <w:color w:val="954F72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C3839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D012E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429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4292E"/>
  </w:style>
  <w:style w:type="paragraph" w:styleId="Rodap">
    <w:name w:val="footer"/>
    <w:basedOn w:val="Normal"/>
    <w:link w:val="RodapChar"/>
    <w:uiPriority w:val="99"/>
    <w:unhideWhenUsed/>
    <w:rsid w:val="006429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42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0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370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163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9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69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127D4-6B38-4EF9-8903-1C0F8C0B3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16</Pages>
  <Words>4290</Words>
  <Characters>23171</Characters>
  <Application>Microsoft Office Word</Application>
  <DocSecurity>0</DocSecurity>
  <Lines>193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Caetano</dc:creator>
  <cp:keywords/>
  <dc:description/>
  <cp:lastModifiedBy>Caetano</cp:lastModifiedBy>
  <cp:revision>12</cp:revision>
  <dcterms:created xsi:type="dcterms:W3CDTF">2025-10-20T08:30:00Z</dcterms:created>
  <dcterms:modified xsi:type="dcterms:W3CDTF">2025-11-21T22:09:00Z</dcterms:modified>
</cp:coreProperties>
</file>