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064F" w14:textId="77777777" w:rsidR="005E57FB" w:rsidRDefault="00F5521B">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noProof/>
          <w:color w:val="000000"/>
        </w:rPr>
        <w:drawing>
          <wp:inline distT="0" distB="0" distL="0" distR="0" wp14:anchorId="53796E2B" wp14:editId="74845025">
            <wp:extent cx="2397079" cy="725116"/>
            <wp:effectExtent l="0" t="0" r="0" b="0"/>
            <wp:docPr id="1" name="image1.png"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Uma imagem contendo placar, desenho&#10;&#10;Descrição gerada automaticamente"/>
                    <pic:cNvPicPr preferRelativeResize="0"/>
                  </pic:nvPicPr>
                  <pic:blipFill>
                    <a:blip r:embed="rId11"/>
                    <a:srcRect/>
                    <a:stretch>
                      <a:fillRect/>
                    </a:stretch>
                  </pic:blipFill>
                  <pic:spPr>
                    <a:xfrm>
                      <a:off x="0" y="0"/>
                      <a:ext cx="2397079" cy="725116"/>
                    </a:xfrm>
                    <a:prstGeom prst="rect">
                      <a:avLst/>
                    </a:prstGeom>
                    <a:ln/>
                  </pic:spPr>
                </pic:pic>
              </a:graphicData>
            </a:graphic>
          </wp:inline>
        </w:drawing>
      </w:r>
    </w:p>
    <w:p w14:paraId="7EE9ABCF" w14:textId="77777777" w:rsidR="005E57FB" w:rsidRDefault="005E57FB">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4"/>
          <w:szCs w:val="24"/>
        </w:rPr>
      </w:pPr>
    </w:p>
    <w:p w14:paraId="65711D5B" w14:textId="77777777" w:rsidR="005E57FB" w:rsidRDefault="00F5521B">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FACULDADE METROPOLITANA DO ESTADO DE SÃO PAULO</w:t>
      </w:r>
    </w:p>
    <w:p w14:paraId="3F802152" w14:textId="77777777" w:rsidR="005E57FB" w:rsidRDefault="005E57FB">
      <w:pPr>
        <w:spacing w:after="0" w:line="240" w:lineRule="auto"/>
        <w:rPr>
          <w:rFonts w:ascii="Arial" w:eastAsia="Arial" w:hAnsi="Arial" w:cs="Arial"/>
        </w:rPr>
      </w:pPr>
    </w:p>
    <w:p w14:paraId="318B2AE5" w14:textId="77777777" w:rsidR="005E57FB" w:rsidRDefault="005E57FB">
      <w:pPr>
        <w:spacing w:after="0" w:line="240" w:lineRule="auto"/>
        <w:rPr>
          <w:rFonts w:ascii="Arial" w:eastAsia="Arial" w:hAnsi="Arial" w:cs="Arial"/>
        </w:rPr>
      </w:pPr>
    </w:p>
    <w:p w14:paraId="42F96071" w14:textId="77777777" w:rsidR="005E57FB" w:rsidRDefault="005E57FB">
      <w:pPr>
        <w:spacing w:after="0" w:line="240" w:lineRule="auto"/>
        <w:jc w:val="center"/>
        <w:rPr>
          <w:rFonts w:ascii="Arial" w:eastAsia="Arial" w:hAnsi="Arial" w:cs="Arial"/>
          <w:b/>
          <w:sz w:val="24"/>
          <w:szCs w:val="24"/>
        </w:rPr>
      </w:pPr>
    </w:p>
    <w:p w14:paraId="73F5B34D" w14:textId="77777777" w:rsidR="005E57FB" w:rsidRDefault="00F5521B">
      <w:pPr>
        <w:spacing w:after="0" w:line="240" w:lineRule="auto"/>
        <w:jc w:val="center"/>
        <w:rPr>
          <w:rFonts w:ascii="Arial" w:eastAsia="Arial" w:hAnsi="Arial" w:cs="Arial"/>
          <w:b/>
          <w:sz w:val="24"/>
          <w:szCs w:val="24"/>
        </w:rPr>
      </w:pPr>
      <w:r>
        <w:rPr>
          <w:rFonts w:ascii="Arial" w:eastAsia="Arial" w:hAnsi="Arial" w:cs="Arial"/>
          <w:b/>
          <w:sz w:val="24"/>
          <w:szCs w:val="24"/>
        </w:rPr>
        <w:t>GRADUAÇÃO EM ADMINISTRAÇÃO</w:t>
      </w:r>
    </w:p>
    <w:p w14:paraId="33EC9286" w14:textId="77777777" w:rsidR="005E57FB" w:rsidRDefault="005E57FB">
      <w:pPr>
        <w:spacing w:after="0" w:line="240" w:lineRule="auto"/>
        <w:jc w:val="center"/>
        <w:rPr>
          <w:rFonts w:ascii="Arial" w:eastAsia="Arial" w:hAnsi="Arial" w:cs="Arial"/>
          <w:b/>
          <w:sz w:val="24"/>
          <w:szCs w:val="24"/>
        </w:rPr>
      </w:pPr>
    </w:p>
    <w:p w14:paraId="15BDFAC5" w14:textId="77777777" w:rsidR="005E57FB" w:rsidRDefault="005E57FB">
      <w:pPr>
        <w:spacing w:after="0" w:line="240" w:lineRule="auto"/>
        <w:jc w:val="center"/>
        <w:rPr>
          <w:rFonts w:ascii="Arial" w:eastAsia="Arial" w:hAnsi="Arial" w:cs="Arial"/>
          <w:b/>
          <w:sz w:val="24"/>
          <w:szCs w:val="24"/>
        </w:rPr>
      </w:pPr>
    </w:p>
    <w:p w14:paraId="344A141C" w14:textId="77777777" w:rsidR="005E57FB" w:rsidRPr="009925EB" w:rsidRDefault="005E57FB">
      <w:pPr>
        <w:spacing w:after="0" w:line="240" w:lineRule="auto"/>
        <w:jc w:val="center"/>
        <w:rPr>
          <w:rFonts w:ascii="Arial" w:eastAsia="Arial" w:hAnsi="Arial" w:cs="Arial"/>
          <w:b/>
          <w:color w:val="000000" w:themeColor="text1"/>
          <w:sz w:val="24"/>
          <w:szCs w:val="24"/>
        </w:rPr>
      </w:pPr>
    </w:p>
    <w:p w14:paraId="18F24706" w14:textId="25C2329B" w:rsidR="005E57FB" w:rsidRPr="009925EB" w:rsidRDefault="00F5521B">
      <w:pPr>
        <w:spacing w:after="0" w:line="240" w:lineRule="auto"/>
        <w:jc w:val="center"/>
        <w:rPr>
          <w:rFonts w:ascii="Arial" w:eastAsia="Arial" w:hAnsi="Arial" w:cs="Arial"/>
          <w:b/>
          <w:color w:val="000000" w:themeColor="text1"/>
          <w:sz w:val="24"/>
          <w:szCs w:val="24"/>
        </w:rPr>
      </w:pPr>
      <w:bookmarkStart w:id="0" w:name="_Hlk214564721"/>
      <w:bookmarkStart w:id="1" w:name="_Hlk211434244"/>
      <w:r w:rsidRPr="009925EB">
        <w:rPr>
          <w:rFonts w:ascii="Arial" w:eastAsia="Arial" w:hAnsi="Arial" w:cs="Arial"/>
          <w:b/>
          <w:color w:val="000000" w:themeColor="text1"/>
          <w:sz w:val="24"/>
          <w:szCs w:val="24"/>
        </w:rPr>
        <w:t xml:space="preserve">Práticas de </w:t>
      </w:r>
      <w:r w:rsidR="009925EB" w:rsidRPr="009925EB">
        <w:rPr>
          <w:rFonts w:ascii="Arial" w:eastAsia="Arial" w:hAnsi="Arial" w:cs="Arial"/>
          <w:b/>
          <w:color w:val="000000" w:themeColor="text1"/>
          <w:sz w:val="24"/>
          <w:szCs w:val="24"/>
        </w:rPr>
        <w:t>g</w:t>
      </w:r>
      <w:r w:rsidRPr="009925EB">
        <w:rPr>
          <w:rFonts w:ascii="Arial" w:eastAsia="Arial" w:hAnsi="Arial" w:cs="Arial"/>
          <w:b/>
          <w:color w:val="000000" w:themeColor="text1"/>
          <w:sz w:val="24"/>
          <w:szCs w:val="24"/>
        </w:rPr>
        <w:t>estão que promovem o engajamento dos funcionários</w:t>
      </w:r>
      <w:bookmarkEnd w:id="0"/>
      <w:r w:rsidRPr="009925EB">
        <w:rPr>
          <w:rFonts w:ascii="Arial" w:eastAsia="Arial" w:hAnsi="Arial" w:cs="Arial"/>
          <w:b/>
          <w:color w:val="000000" w:themeColor="text1"/>
          <w:sz w:val="24"/>
          <w:szCs w:val="24"/>
        </w:rPr>
        <w:t xml:space="preserve">: </w:t>
      </w:r>
      <w:r w:rsidR="007810F6">
        <w:rPr>
          <w:rFonts w:ascii="Arial" w:eastAsia="Arial" w:hAnsi="Arial" w:cs="Arial"/>
          <w:b/>
          <w:color w:val="000000" w:themeColor="text1"/>
          <w:sz w:val="24"/>
          <w:szCs w:val="24"/>
        </w:rPr>
        <w:t>u</w:t>
      </w:r>
      <w:r w:rsidRPr="009925EB">
        <w:rPr>
          <w:rFonts w:ascii="Arial" w:eastAsia="Arial" w:hAnsi="Arial" w:cs="Arial"/>
          <w:b/>
          <w:color w:val="000000" w:themeColor="text1"/>
          <w:sz w:val="24"/>
          <w:szCs w:val="24"/>
        </w:rPr>
        <w:t>m estudo sobre estratégias de motivação no ambiente corporativo</w:t>
      </w:r>
    </w:p>
    <w:bookmarkEnd w:id="1"/>
    <w:p w14:paraId="219B6448" w14:textId="77777777" w:rsidR="005E57FB" w:rsidRPr="009925EB" w:rsidRDefault="005E57FB">
      <w:pPr>
        <w:spacing w:after="0" w:line="240" w:lineRule="auto"/>
        <w:rPr>
          <w:rFonts w:ascii="Arial" w:eastAsia="Arial" w:hAnsi="Arial" w:cs="Arial"/>
          <w:color w:val="000000" w:themeColor="text1"/>
          <w:sz w:val="24"/>
          <w:szCs w:val="24"/>
        </w:rPr>
      </w:pPr>
    </w:p>
    <w:p w14:paraId="6162F359" w14:textId="77777777" w:rsidR="005E57FB" w:rsidRDefault="005E57FB">
      <w:pPr>
        <w:spacing w:after="0" w:line="240" w:lineRule="auto"/>
        <w:rPr>
          <w:rFonts w:ascii="Arial" w:eastAsia="Arial" w:hAnsi="Arial" w:cs="Arial"/>
          <w:sz w:val="24"/>
          <w:szCs w:val="24"/>
        </w:rPr>
      </w:pPr>
    </w:p>
    <w:p w14:paraId="4F43D035" w14:textId="5CEEE9C8" w:rsidR="009925EB" w:rsidRDefault="009925EB">
      <w:pPr>
        <w:spacing w:after="0" w:line="240" w:lineRule="auto"/>
        <w:jc w:val="right"/>
        <w:rPr>
          <w:rFonts w:ascii="Arial" w:eastAsia="Arial" w:hAnsi="Arial" w:cs="Arial"/>
          <w:sz w:val="24"/>
          <w:szCs w:val="24"/>
        </w:rPr>
      </w:pPr>
      <w:r w:rsidRPr="009925EB">
        <w:rPr>
          <w:rFonts w:ascii="Arial" w:eastAsia="Arial" w:hAnsi="Arial" w:cs="Arial"/>
          <w:sz w:val="24"/>
          <w:szCs w:val="24"/>
        </w:rPr>
        <w:t>Gabriel Hidalgo</w:t>
      </w:r>
      <w:r>
        <w:rPr>
          <w:rFonts w:ascii="Arial" w:eastAsia="Arial" w:hAnsi="Arial" w:cs="Arial"/>
          <w:sz w:val="24"/>
          <w:szCs w:val="24"/>
        </w:rPr>
        <w:t xml:space="preserve"> Monho</w:t>
      </w:r>
    </w:p>
    <w:p w14:paraId="2C1E8B54" w14:textId="6127CF2D" w:rsidR="005E57FB" w:rsidRDefault="00F5521B">
      <w:pPr>
        <w:spacing w:after="0" w:line="240" w:lineRule="auto"/>
        <w:jc w:val="right"/>
        <w:rPr>
          <w:rFonts w:ascii="Arial" w:eastAsia="Arial" w:hAnsi="Arial" w:cs="Arial"/>
          <w:sz w:val="24"/>
          <w:szCs w:val="24"/>
        </w:rPr>
      </w:pPr>
      <w:r>
        <w:rPr>
          <w:rFonts w:ascii="Arial" w:eastAsia="Arial" w:hAnsi="Arial" w:cs="Arial"/>
          <w:sz w:val="24"/>
          <w:szCs w:val="24"/>
        </w:rPr>
        <w:t>Tamires Ribeiro de Araujo</w:t>
      </w:r>
    </w:p>
    <w:p w14:paraId="1D8CDF03" w14:textId="40CD78AF" w:rsidR="005E57FB" w:rsidRDefault="006B33A8">
      <w:pPr>
        <w:spacing w:after="0" w:line="240" w:lineRule="auto"/>
        <w:jc w:val="right"/>
        <w:rPr>
          <w:rFonts w:ascii="Arial" w:eastAsia="Arial" w:hAnsi="Arial" w:cs="Arial"/>
          <w:sz w:val="24"/>
          <w:szCs w:val="24"/>
        </w:rPr>
      </w:pPr>
      <w:r>
        <w:rPr>
          <w:rFonts w:ascii="Arial" w:eastAsia="Arial" w:hAnsi="Arial" w:cs="Arial"/>
          <w:sz w:val="24"/>
          <w:szCs w:val="24"/>
        </w:rPr>
        <w:t>Orientador</w:t>
      </w:r>
      <w:r w:rsidR="007810F6">
        <w:rPr>
          <w:rFonts w:ascii="Arial" w:eastAsia="Arial" w:hAnsi="Arial" w:cs="Arial"/>
          <w:sz w:val="24"/>
          <w:szCs w:val="24"/>
        </w:rPr>
        <w:t>a</w:t>
      </w:r>
      <w:r>
        <w:rPr>
          <w:rFonts w:ascii="Arial" w:eastAsia="Arial" w:hAnsi="Arial" w:cs="Arial"/>
          <w:sz w:val="24"/>
          <w:szCs w:val="24"/>
        </w:rPr>
        <w:t xml:space="preserve">: </w:t>
      </w:r>
      <w:r w:rsidR="001C6D37">
        <w:rPr>
          <w:rFonts w:ascii="Arial" w:eastAsia="Arial" w:hAnsi="Arial" w:cs="Arial"/>
          <w:sz w:val="24"/>
          <w:szCs w:val="24"/>
        </w:rPr>
        <w:t xml:space="preserve">Elizabete </w:t>
      </w:r>
      <w:r w:rsidR="007810F6">
        <w:rPr>
          <w:rFonts w:ascii="Arial" w:eastAsia="Arial" w:hAnsi="Arial" w:cs="Arial"/>
          <w:sz w:val="24"/>
          <w:szCs w:val="24"/>
        </w:rPr>
        <w:t xml:space="preserve">David </w:t>
      </w:r>
      <w:r w:rsidR="001C6D37">
        <w:rPr>
          <w:rFonts w:ascii="Arial" w:eastAsia="Arial" w:hAnsi="Arial" w:cs="Arial"/>
          <w:sz w:val="24"/>
          <w:szCs w:val="24"/>
        </w:rPr>
        <w:t>Novaes</w:t>
      </w:r>
    </w:p>
    <w:p w14:paraId="40543601" w14:textId="043634BD" w:rsidR="005E57FB" w:rsidRDefault="005E57FB">
      <w:pPr>
        <w:spacing w:after="0" w:line="240" w:lineRule="auto"/>
        <w:jc w:val="right"/>
        <w:rPr>
          <w:rFonts w:ascii="Arial" w:eastAsia="Arial" w:hAnsi="Arial" w:cs="Arial"/>
          <w:sz w:val="24"/>
          <w:szCs w:val="24"/>
        </w:rPr>
      </w:pPr>
    </w:p>
    <w:p w14:paraId="2E91DCCD" w14:textId="2CD0773E" w:rsidR="00EC7DB1" w:rsidRDefault="00EC7DB1">
      <w:pPr>
        <w:spacing w:after="0" w:line="240" w:lineRule="auto"/>
        <w:jc w:val="right"/>
        <w:rPr>
          <w:rFonts w:ascii="Arial" w:eastAsia="Arial" w:hAnsi="Arial" w:cs="Arial"/>
          <w:sz w:val="24"/>
          <w:szCs w:val="24"/>
        </w:rPr>
      </w:pPr>
    </w:p>
    <w:p w14:paraId="547B4CEE" w14:textId="77777777" w:rsidR="00EC7DB1" w:rsidRDefault="00EC7DB1">
      <w:pPr>
        <w:spacing w:after="0" w:line="240" w:lineRule="auto"/>
        <w:jc w:val="right"/>
        <w:rPr>
          <w:rFonts w:ascii="Arial" w:eastAsia="Arial" w:hAnsi="Arial" w:cs="Arial"/>
          <w:sz w:val="24"/>
          <w:szCs w:val="24"/>
        </w:rPr>
      </w:pPr>
    </w:p>
    <w:p w14:paraId="5E7F2506" w14:textId="2B79CC37" w:rsidR="007810F6" w:rsidRDefault="007810F6" w:rsidP="00EC7DB1">
      <w:pPr>
        <w:spacing w:after="0" w:line="360" w:lineRule="auto"/>
        <w:jc w:val="center"/>
        <w:rPr>
          <w:rFonts w:ascii="Arial" w:eastAsia="Arial" w:hAnsi="Arial" w:cs="Arial"/>
          <w:b/>
          <w:sz w:val="24"/>
          <w:szCs w:val="24"/>
        </w:rPr>
      </w:pPr>
      <w:bookmarkStart w:id="2" w:name="_Hlk214566383"/>
      <w:r>
        <w:rPr>
          <w:rFonts w:ascii="Arial" w:eastAsia="Arial" w:hAnsi="Arial" w:cs="Arial"/>
          <w:b/>
          <w:sz w:val="24"/>
          <w:szCs w:val="24"/>
        </w:rPr>
        <w:t>RESUMO</w:t>
      </w:r>
    </w:p>
    <w:p w14:paraId="4CD50A5B" w14:textId="3BEF2859" w:rsidR="008E576F" w:rsidRPr="00403D71" w:rsidRDefault="00403D71" w:rsidP="00403D71">
      <w:pPr>
        <w:spacing w:after="0" w:line="360" w:lineRule="auto"/>
        <w:jc w:val="both"/>
        <w:rPr>
          <w:rFonts w:ascii="Arial" w:eastAsia="Arial" w:hAnsi="Arial" w:cs="Arial"/>
          <w:bCs/>
          <w:sz w:val="24"/>
          <w:szCs w:val="24"/>
        </w:rPr>
      </w:pPr>
      <w:r w:rsidRPr="00403D71">
        <w:rPr>
          <w:rFonts w:ascii="Arial" w:eastAsia="Arial" w:hAnsi="Arial" w:cs="Arial"/>
          <w:bCs/>
          <w:sz w:val="24"/>
          <w:szCs w:val="24"/>
        </w:rPr>
        <w:t>O presente artigo tem como tema as práticas de gestão que promovem o engajamento dos funcionários no ambiente corporativo, buscando compreender como essas estratégias contribuem para a motivação e o desempenho das equipes, o que se coloca como objetivo geral do estudo. Mais particularmente, como objetivos específicos, busca-se: identificar as práticas de gestão mais utilizadas para promover o engajamento; analisar a influência dos estilos de liderança sobre a motivação e o envolvimento dos colaboradores; investigar fatores organizacionais como comunicação interna, clima, cultura, feedback, reconhecimento e autonomia; avaliar a percepção dos colaboradores sobre as estratégias motivacionais adotadas pelas lideranças; examinar a relação entre inteligência emocional e fortalecimento do engajamento; e propor recomendações de práticas eficazes para ampliar o comprometimento das equipes. A metodologia está pautada na pesquisa bibliográfica, com levantamento e análise de livros e artigos científicos publicados entre 2018 e 2025. Observa-se que fatores como liderança transformacional, inteligência emocional, reconhecimento, comunicação transparente, clima organizacional positivo e ações inovadoras</w:t>
      </w:r>
      <w:r>
        <w:rPr>
          <w:rFonts w:ascii="Arial" w:eastAsia="Arial" w:hAnsi="Arial" w:cs="Arial"/>
          <w:bCs/>
          <w:sz w:val="24"/>
          <w:szCs w:val="24"/>
        </w:rPr>
        <w:t>,</w:t>
      </w:r>
      <w:r w:rsidRPr="00403D71">
        <w:rPr>
          <w:rFonts w:ascii="Arial" w:eastAsia="Arial" w:hAnsi="Arial" w:cs="Arial"/>
          <w:bCs/>
          <w:sz w:val="24"/>
          <w:szCs w:val="24"/>
        </w:rPr>
        <w:t xml:space="preserve"> como gamificação e endomarketing</w:t>
      </w:r>
      <w:r>
        <w:rPr>
          <w:rFonts w:ascii="Arial" w:eastAsia="Arial" w:hAnsi="Arial" w:cs="Arial"/>
          <w:bCs/>
          <w:sz w:val="24"/>
          <w:szCs w:val="24"/>
        </w:rPr>
        <w:t xml:space="preserve">, </w:t>
      </w:r>
      <w:r w:rsidRPr="00403D71">
        <w:rPr>
          <w:rFonts w:ascii="Arial" w:eastAsia="Arial" w:hAnsi="Arial" w:cs="Arial"/>
          <w:bCs/>
          <w:sz w:val="24"/>
          <w:szCs w:val="24"/>
        </w:rPr>
        <w:t xml:space="preserve">exercem influência direta no engajamento e na motivação intrínseca. Por fim, a pesquisa permitiu constatar que o </w:t>
      </w:r>
      <w:r w:rsidRPr="00403D71">
        <w:rPr>
          <w:rFonts w:ascii="Arial" w:eastAsia="Arial" w:hAnsi="Arial" w:cs="Arial"/>
          <w:bCs/>
          <w:sz w:val="24"/>
          <w:szCs w:val="24"/>
        </w:rPr>
        <w:lastRenderedPageBreak/>
        <w:t>engajamento dos funcionários é resultado da integração entre aspectos pessoais, relacionais e organizacionais, e que práticas de gestão humanizadas e estratégicas são essenciais para promover ambientes corporativos mais saudáveis, produtivos e alinhados aos objetivos organizacionais.</w:t>
      </w:r>
    </w:p>
    <w:p w14:paraId="4F0DB5C2" w14:textId="77777777" w:rsidR="00403D71" w:rsidRDefault="00403D71" w:rsidP="00403D71">
      <w:pPr>
        <w:spacing w:after="0" w:line="360" w:lineRule="auto"/>
        <w:jc w:val="both"/>
        <w:rPr>
          <w:rFonts w:ascii="Arial" w:eastAsia="Arial" w:hAnsi="Arial" w:cs="Arial"/>
          <w:bCs/>
          <w:sz w:val="24"/>
          <w:szCs w:val="24"/>
        </w:rPr>
      </w:pPr>
    </w:p>
    <w:p w14:paraId="23FB15FC" w14:textId="564558DE" w:rsidR="008E576F" w:rsidRPr="00403D71" w:rsidRDefault="008E576F" w:rsidP="00403D71">
      <w:pPr>
        <w:spacing w:after="0" w:line="360" w:lineRule="auto"/>
        <w:jc w:val="both"/>
        <w:rPr>
          <w:rFonts w:ascii="Arial" w:eastAsia="Arial" w:hAnsi="Arial" w:cs="Arial"/>
          <w:bCs/>
          <w:sz w:val="24"/>
          <w:szCs w:val="24"/>
        </w:rPr>
      </w:pPr>
      <w:r w:rsidRPr="00403D71">
        <w:rPr>
          <w:rFonts w:ascii="Arial" w:eastAsia="Arial" w:hAnsi="Arial" w:cs="Arial"/>
          <w:b/>
          <w:sz w:val="24"/>
          <w:szCs w:val="24"/>
        </w:rPr>
        <w:t>Palavras-chave</w:t>
      </w:r>
      <w:r w:rsidRPr="00403D71">
        <w:rPr>
          <w:rFonts w:ascii="Arial" w:eastAsia="Arial" w:hAnsi="Arial" w:cs="Arial"/>
          <w:bCs/>
          <w:sz w:val="24"/>
          <w:szCs w:val="24"/>
        </w:rPr>
        <w:t xml:space="preserve">: </w:t>
      </w:r>
      <w:r w:rsidR="00403D71" w:rsidRPr="00403D71">
        <w:rPr>
          <w:rFonts w:ascii="Arial" w:eastAsia="Arial" w:hAnsi="Arial" w:cs="Arial"/>
          <w:bCs/>
          <w:sz w:val="24"/>
          <w:szCs w:val="24"/>
        </w:rPr>
        <w:t>gestão de pessoas</w:t>
      </w:r>
      <w:r w:rsidR="00403D71">
        <w:rPr>
          <w:rFonts w:ascii="Arial" w:eastAsia="Arial" w:hAnsi="Arial" w:cs="Arial"/>
          <w:bCs/>
          <w:sz w:val="24"/>
          <w:szCs w:val="24"/>
        </w:rPr>
        <w:t>,</w:t>
      </w:r>
      <w:r w:rsidR="00403D71" w:rsidRPr="00403D71">
        <w:rPr>
          <w:rFonts w:ascii="Arial" w:eastAsia="Arial" w:hAnsi="Arial" w:cs="Arial"/>
          <w:bCs/>
          <w:sz w:val="24"/>
          <w:szCs w:val="24"/>
        </w:rPr>
        <w:t xml:space="preserve"> motivação</w:t>
      </w:r>
      <w:r w:rsidR="00403D71">
        <w:rPr>
          <w:rFonts w:ascii="Arial" w:eastAsia="Arial" w:hAnsi="Arial" w:cs="Arial"/>
          <w:bCs/>
          <w:sz w:val="24"/>
          <w:szCs w:val="24"/>
        </w:rPr>
        <w:t>,</w:t>
      </w:r>
      <w:r w:rsidR="00403D71" w:rsidRPr="00403D71">
        <w:rPr>
          <w:rFonts w:ascii="Arial" w:eastAsia="Arial" w:hAnsi="Arial" w:cs="Arial"/>
          <w:bCs/>
          <w:sz w:val="24"/>
          <w:szCs w:val="24"/>
        </w:rPr>
        <w:t xml:space="preserve"> engajamento</w:t>
      </w:r>
      <w:r w:rsidR="00EC7DB1" w:rsidRPr="00403D71">
        <w:rPr>
          <w:rFonts w:ascii="Arial" w:eastAsia="Arial" w:hAnsi="Arial" w:cs="Arial"/>
          <w:bCs/>
          <w:sz w:val="24"/>
          <w:szCs w:val="24"/>
        </w:rPr>
        <w:t>.</w:t>
      </w:r>
    </w:p>
    <w:p w14:paraId="72871E9D" w14:textId="77777777" w:rsidR="008E576F" w:rsidRPr="004550D3" w:rsidRDefault="008E576F" w:rsidP="008E576F">
      <w:pPr>
        <w:spacing w:after="0" w:line="240" w:lineRule="auto"/>
        <w:jc w:val="both"/>
        <w:rPr>
          <w:rFonts w:ascii="Arial" w:hAnsi="Arial" w:cs="Arial"/>
          <w:sz w:val="24"/>
        </w:rPr>
      </w:pPr>
    </w:p>
    <w:p w14:paraId="44AE6479" w14:textId="77777777" w:rsidR="008E576F" w:rsidRPr="004550D3" w:rsidRDefault="008E576F" w:rsidP="008E576F">
      <w:pPr>
        <w:spacing w:after="0" w:line="240" w:lineRule="auto"/>
        <w:jc w:val="center"/>
        <w:rPr>
          <w:rFonts w:ascii="Arial" w:hAnsi="Arial" w:cs="Arial"/>
          <w:b/>
          <w:sz w:val="24"/>
        </w:rPr>
      </w:pPr>
    </w:p>
    <w:p w14:paraId="71513E1C" w14:textId="77777777" w:rsidR="008E576F" w:rsidRPr="00A634EF" w:rsidRDefault="008E576F" w:rsidP="008E576F">
      <w:pPr>
        <w:spacing w:after="0" w:line="240" w:lineRule="auto"/>
        <w:jc w:val="center"/>
        <w:rPr>
          <w:rFonts w:ascii="Arial" w:hAnsi="Arial" w:cs="Arial"/>
          <w:b/>
          <w:sz w:val="24"/>
          <w:lang w:val="en-US"/>
        </w:rPr>
      </w:pPr>
      <w:r w:rsidRPr="00A634EF">
        <w:rPr>
          <w:rFonts w:ascii="Arial" w:hAnsi="Arial" w:cs="Arial"/>
          <w:b/>
          <w:sz w:val="24"/>
          <w:lang w:val="en-US"/>
        </w:rPr>
        <w:t>ABSTRACT</w:t>
      </w:r>
    </w:p>
    <w:p w14:paraId="54C8B54D" w14:textId="77777777" w:rsidR="008E576F" w:rsidRPr="00A634EF" w:rsidRDefault="008E576F" w:rsidP="008E576F">
      <w:pPr>
        <w:spacing w:after="0" w:line="240" w:lineRule="auto"/>
        <w:jc w:val="both"/>
        <w:rPr>
          <w:rFonts w:ascii="Arial" w:hAnsi="Arial" w:cs="Arial"/>
          <w:b/>
          <w:sz w:val="24"/>
          <w:lang w:val="en-US"/>
        </w:rPr>
      </w:pPr>
    </w:p>
    <w:p w14:paraId="5DEAFA79" w14:textId="29104455" w:rsidR="008E576F" w:rsidRPr="00A634EF" w:rsidRDefault="00403D71" w:rsidP="00403D71">
      <w:pPr>
        <w:spacing w:after="0" w:line="360" w:lineRule="auto"/>
        <w:jc w:val="both"/>
        <w:rPr>
          <w:rFonts w:ascii="Arial" w:eastAsia="Arial" w:hAnsi="Arial" w:cs="Arial"/>
          <w:bCs/>
          <w:sz w:val="24"/>
          <w:szCs w:val="24"/>
          <w:lang w:val="en-US"/>
        </w:rPr>
      </w:pPr>
      <w:r w:rsidRPr="00A634EF">
        <w:rPr>
          <w:rFonts w:ascii="Arial" w:eastAsia="Arial" w:hAnsi="Arial" w:cs="Arial"/>
          <w:bCs/>
          <w:sz w:val="24"/>
          <w:szCs w:val="24"/>
          <w:lang w:val="en-US"/>
        </w:rPr>
        <w:t>This article addresses management practices that promote employee engagement in the corporate environment, seeking to understand how such strategies contribute to motivation and team performance, which constitutes the general objective of the study. More specifically, the study aims to: identify the management practices most used to promote engagement; analyze how leadership styles influence employee motivation and involvement; investigate organizational factors such as internal communication, climate, culture, feedback, recognition, and autonomy; assess employees’ perceptions regarding motivational strategies adopted by leaders; examine the relationship between emotional intelligence and the strengthening of engagement; and propose recommendations for effective management practices capable of enhancing team commitment. The methodology is based on a bibliographic review, including books and scientific articles published between 2018 and 2025. The findings indicate that transformational leadership, emotional intelligence, recognition, transparent communication, a positive organizational climate, and innovative actions, such as gamification and internal marketing, directly influence engagement and intrinsic motivation. Finally, the study concludes that employee engagement results from the interaction of personal, relational, and organizational factors, and that human-centered and strategic management practices are essential to foster healthier, more productive corporate environments aligned with organizational goals.</w:t>
      </w:r>
    </w:p>
    <w:p w14:paraId="6CFF00DB" w14:textId="77777777" w:rsidR="00403D71" w:rsidRPr="00403D71" w:rsidRDefault="00403D71" w:rsidP="008E576F">
      <w:pPr>
        <w:spacing w:after="0" w:line="240" w:lineRule="auto"/>
        <w:jc w:val="both"/>
        <w:rPr>
          <w:rFonts w:ascii="Arial" w:hAnsi="Arial" w:cs="Arial"/>
          <w:bCs/>
          <w:sz w:val="24"/>
          <w:lang w:val="en-US"/>
        </w:rPr>
      </w:pPr>
    </w:p>
    <w:p w14:paraId="1A97D0F2" w14:textId="45E6C1B2" w:rsidR="008E576F" w:rsidRPr="00A634EF" w:rsidRDefault="008E576F" w:rsidP="00403D71">
      <w:pPr>
        <w:spacing w:after="0" w:line="360" w:lineRule="auto"/>
        <w:jc w:val="both"/>
        <w:rPr>
          <w:rFonts w:ascii="Arial" w:eastAsia="Arial" w:hAnsi="Arial" w:cs="Arial"/>
          <w:bCs/>
          <w:sz w:val="24"/>
          <w:szCs w:val="24"/>
          <w:lang w:val="en-US"/>
        </w:rPr>
      </w:pPr>
      <w:r w:rsidRPr="00A634EF">
        <w:rPr>
          <w:rFonts w:ascii="Arial" w:eastAsia="Arial" w:hAnsi="Arial" w:cs="Arial"/>
          <w:b/>
          <w:sz w:val="24"/>
          <w:szCs w:val="24"/>
          <w:lang w:val="en-US"/>
        </w:rPr>
        <w:t xml:space="preserve">Keywords: </w:t>
      </w:r>
      <w:r w:rsidR="00403D71" w:rsidRPr="00A634EF">
        <w:rPr>
          <w:rFonts w:ascii="Arial" w:eastAsia="Arial" w:hAnsi="Arial" w:cs="Arial"/>
          <w:bCs/>
          <w:sz w:val="24"/>
          <w:szCs w:val="24"/>
          <w:lang w:val="en-US"/>
        </w:rPr>
        <w:t>people management, motivation, engagement.</w:t>
      </w:r>
    </w:p>
    <w:bookmarkEnd w:id="2"/>
    <w:p w14:paraId="4D379759" w14:textId="524D715C" w:rsidR="008E576F" w:rsidRPr="00A634EF" w:rsidRDefault="008E576F" w:rsidP="008E576F">
      <w:pPr>
        <w:spacing w:after="0" w:line="240" w:lineRule="auto"/>
        <w:jc w:val="both"/>
        <w:rPr>
          <w:rFonts w:ascii="Arial" w:hAnsi="Arial" w:cs="Arial"/>
          <w:bCs/>
          <w:sz w:val="24"/>
          <w:lang w:val="en-US"/>
        </w:rPr>
      </w:pPr>
    </w:p>
    <w:p w14:paraId="0002BDC1" w14:textId="1B8B7FC9" w:rsidR="00EC7DB1" w:rsidRPr="00A634EF" w:rsidRDefault="00EC7DB1" w:rsidP="008E576F">
      <w:pPr>
        <w:spacing w:after="0" w:line="240" w:lineRule="auto"/>
        <w:jc w:val="both"/>
        <w:rPr>
          <w:rFonts w:ascii="Arial" w:hAnsi="Arial" w:cs="Arial"/>
          <w:bCs/>
          <w:sz w:val="24"/>
          <w:lang w:val="en-US"/>
        </w:rPr>
      </w:pPr>
    </w:p>
    <w:p w14:paraId="51B1F0ED" w14:textId="327482B3" w:rsidR="00FC3FFF" w:rsidRPr="00A634EF" w:rsidRDefault="00FC3FFF" w:rsidP="008E576F">
      <w:pPr>
        <w:spacing w:after="0" w:line="240" w:lineRule="auto"/>
        <w:jc w:val="both"/>
        <w:rPr>
          <w:rFonts w:ascii="Arial" w:hAnsi="Arial" w:cs="Arial"/>
          <w:bCs/>
          <w:sz w:val="24"/>
          <w:lang w:val="en-US"/>
        </w:rPr>
      </w:pPr>
    </w:p>
    <w:p w14:paraId="3AC6D542" w14:textId="78F022B5" w:rsidR="00FC3FFF" w:rsidRPr="00A634EF" w:rsidRDefault="00FC3FFF" w:rsidP="008E576F">
      <w:pPr>
        <w:spacing w:after="0" w:line="240" w:lineRule="auto"/>
        <w:jc w:val="both"/>
        <w:rPr>
          <w:rFonts w:ascii="Arial" w:hAnsi="Arial" w:cs="Arial"/>
          <w:bCs/>
          <w:sz w:val="24"/>
          <w:lang w:val="en-US"/>
        </w:rPr>
      </w:pPr>
    </w:p>
    <w:p w14:paraId="2F7082E0" w14:textId="0A598E70" w:rsidR="00FC3FFF" w:rsidRPr="00A634EF" w:rsidRDefault="00FC3FFF" w:rsidP="008E576F">
      <w:pPr>
        <w:spacing w:after="0" w:line="240" w:lineRule="auto"/>
        <w:jc w:val="both"/>
        <w:rPr>
          <w:rFonts w:ascii="Arial" w:hAnsi="Arial" w:cs="Arial"/>
          <w:bCs/>
          <w:sz w:val="24"/>
          <w:lang w:val="en-US"/>
        </w:rPr>
      </w:pPr>
    </w:p>
    <w:p w14:paraId="7E6CAEFC" w14:textId="77777777" w:rsidR="00403D71" w:rsidRPr="00A634EF" w:rsidRDefault="00403D71" w:rsidP="007B7359">
      <w:pPr>
        <w:spacing w:after="0" w:line="360" w:lineRule="auto"/>
        <w:jc w:val="both"/>
        <w:rPr>
          <w:rFonts w:ascii="Arial" w:hAnsi="Arial" w:cs="Arial"/>
          <w:bCs/>
          <w:sz w:val="24"/>
          <w:lang w:val="en-US"/>
        </w:rPr>
      </w:pPr>
      <w:bookmarkStart w:id="3" w:name="_Hlk214564694"/>
    </w:p>
    <w:p w14:paraId="62240974" w14:textId="132E9DE9" w:rsidR="00FC3FFF" w:rsidRDefault="00F5521B" w:rsidP="007B7359">
      <w:pPr>
        <w:spacing w:after="0" w:line="360" w:lineRule="auto"/>
        <w:jc w:val="both"/>
        <w:rPr>
          <w:rFonts w:ascii="Arial" w:eastAsia="Arial" w:hAnsi="Arial" w:cs="Arial"/>
          <w:b/>
          <w:sz w:val="24"/>
          <w:szCs w:val="24"/>
        </w:rPr>
      </w:pPr>
      <w:r w:rsidRPr="0091653A">
        <w:rPr>
          <w:rFonts w:ascii="Arial" w:eastAsia="Arial" w:hAnsi="Arial" w:cs="Arial"/>
          <w:b/>
          <w:sz w:val="24"/>
          <w:szCs w:val="24"/>
        </w:rPr>
        <w:lastRenderedPageBreak/>
        <w:t>INTRODUÇÃO</w:t>
      </w:r>
    </w:p>
    <w:p w14:paraId="6549FDF1" w14:textId="77777777" w:rsidR="00D70248" w:rsidRPr="0091653A" w:rsidRDefault="00D70248" w:rsidP="007B7359">
      <w:pPr>
        <w:spacing w:after="0" w:line="360" w:lineRule="auto"/>
        <w:jc w:val="both"/>
        <w:rPr>
          <w:rFonts w:ascii="Arial" w:eastAsia="Arial" w:hAnsi="Arial" w:cs="Arial"/>
          <w:b/>
          <w:sz w:val="24"/>
          <w:szCs w:val="24"/>
        </w:rPr>
      </w:pPr>
    </w:p>
    <w:p w14:paraId="3CABFDB9"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O cenário corporativo contemporâneo é marcado por intensa competitividade, pela rápida evolução tecnológica e pela volatilidade constante dos mercados. Nesse ambiente, as organizações enfrentam o desafio de manter equipes motivadas e preparadas para lidar com mudanças cada vez mais frequentes. Para muitos colaboradores, a palavra que sintetiza esse contexto é ansiedade: metas crescentes, automatização acelerada e demandas por adaptação contínua criam pressões que, quando não acompanhadas por uma liderança estruturada, podem comprometer o desempenho e o bem-estar no ambiente de trabalho. Esse conjunto de fatores revela a necessidade de novas abordagens de gestão que consigam equilibrar produtividade, saúde organizacional e valorização humana.</w:t>
      </w:r>
    </w:p>
    <w:p w14:paraId="2D317228"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A difusão de tecnologias avançadas, impulsionadas pelo recente crescimento das inteligências artificiais, intensificou transformações em praticamente todos os setores produtivos. Tarefas repetitivas e operacionais têm sido substituídas por sistemas automatizados, modificando a natureza do trabalho e ampliando a necessidade de competências socioemocionais, capacidade de aprendizagem contínua e flexibilidade cognitiva. Se no passado a formação técnica ou superior já garantia uma vantagem competitiva significativa, hoje esses requisitos constituem apenas o nível mínimo esperado para a inserção e permanência no mercado de trabalho. Diante desse novo contexto, cresce de maneira expressiva a responsabilidade das organizações em criar condições que favoreçam o desenvolvimento integral de seus profissionais, promovendo ambientes que estimulem autonomia, criatividade e senso de pertencimento.</w:t>
      </w:r>
    </w:p>
    <w:p w14:paraId="5CF53B1A"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 xml:space="preserve">Nesse cenário, a gestão de pessoas adquire um papel estratégico e decisivo. Pressionadas a elevar produtividade, manter competitividade e responder rapidamente às demandas de inovação, as empresas dependem diretamente de equipes engajadas, capazes de colaborar, propor soluções e sustentar resultados mesmo em ambientes instáveis. O engajamento, portanto, torna-se um ativo organizacional essencial, especialmente em setores dinâmicos, onde a performance individual e coletiva influencia diretamente a capacidade de inovação e a posição da empresa no mercado. Além disso, estudos recentes apontam que colaboradores engajados tendem a apresentar maior resiliência emocional, maior identificação com </w:t>
      </w:r>
      <w:r w:rsidRPr="006A3CB6">
        <w:rPr>
          <w:rFonts w:ascii="Arial" w:eastAsia="Arial" w:hAnsi="Arial" w:cs="Arial"/>
          <w:bCs/>
          <w:color w:val="000000" w:themeColor="text1"/>
          <w:sz w:val="24"/>
          <w:szCs w:val="24"/>
        </w:rPr>
        <w:lastRenderedPageBreak/>
        <w:t>o propósito organizacional e menor rotatividade — fatores que contribuem para a estabilidade e o fortalecimento institucional.</w:t>
      </w:r>
    </w:p>
    <w:p w14:paraId="46E934BA"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Frente a esse panorama, compreender o que impulsiona o engajamento dos funcionários deixa de ser apenas uma questão comportamental e passa a constituir um elemento estratégico da gestão moderna. Práticas de liderança bem estruturadas, comunicação interna efetiva, reconhecimento profissional, clima organizacional positivo, autonomia nas atividades diárias e cultura organizacional sólida são alguns dos fatores que podem fortalecer o envolvimento dos colaboradores e potencializar seu desempenho. Em um ambiente empresarial marcado por transformações aceleradas, torna-se imprescindível que os gestores adotem estratégias capazes de integrar aspectos humanos e operacionais, promovendo relações de trabalho mais saudáveis, colaborativas e alinhadas aos objetivos organizacionais.</w:t>
      </w:r>
    </w:p>
    <w:p w14:paraId="7B98AD11"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Diante desse cenário, o presente estudo busca compreender de que forma práticas de gestão podem promover o engajamento dos funcionários, fortalecendo sua motivação e contribuindo para a construção de equipes sólidas, adaptáveis e comprometidas com o propósito organizacional. Para isso, são estabelecidos os seguintes objetivos específicos, que estruturam a investigação:</w:t>
      </w:r>
    </w:p>
    <w:p w14:paraId="2B345BCA" w14:textId="77777777" w:rsidR="00A634EF" w:rsidRPr="00A634EF" w:rsidRDefault="00A634EF" w:rsidP="00A634EF">
      <w:pPr>
        <w:pStyle w:val="PargrafodaLista"/>
        <w:numPr>
          <w:ilvl w:val="0"/>
          <w:numId w:val="7"/>
        </w:numPr>
        <w:spacing w:after="0" w:line="360" w:lineRule="auto"/>
        <w:jc w:val="both"/>
        <w:rPr>
          <w:rFonts w:ascii="Arial" w:eastAsia="Arial" w:hAnsi="Arial" w:cs="Arial"/>
          <w:bCs/>
          <w:color w:val="000000" w:themeColor="text1"/>
          <w:sz w:val="24"/>
          <w:szCs w:val="24"/>
        </w:rPr>
      </w:pPr>
      <w:r w:rsidRPr="00A634EF">
        <w:rPr>
          <w:rFonts w:ascii="Arial" w:eastAsia="Arial" w:hAnsi="Arial" w:cs="Arial"/>
          <w:bCs/>
          <w:color w:val="000000" w:themeColor="text1"/>
          <w:sz w:val="24"/>
          <w:szCs w:val="24"/>
        </w:rPr>
        <w:t>Identificar as práticas de gestão mais utilizadas pelas organizações contemporâneas para promover o engajamento dos funcionários;</w:t>
      </w:r>
    </w:p>
    <w:p w14:paraId="12B21C8B" w14:textId="77777777" w:rsidR="00A634EF" w:rsidRPr="00A634EF" w:rsidRDefault="00A634EF" w:rsidP="00A634EF">
      <w:pPr>
        <w:pStyle w:val="PargrafodaLista"/>
        <w:numPr>
          <w:ilvl w:val="0"/>
          <w:numId w:val="7"/>
        </w:numPr>
        <w:spacing w:after="0" w:line="360" w:lineRule="auto"/>
        <w:jc w:val="both"/>
        <w:rPr>
          <w:rFonts w:ascii="Arial" w:eastAsia="Arial" w:hAnsi="Arial" w:cs="Arial"/>
          <w:bCs/>
          <w:color w:val="000000" w:themeColor="text1"/>
          <w:sz w:val="24"/>
          <w:szCs w:val="24"/>
        </w:rPr>
      </w:pPr>
      <w:r w:rsidRPr="00A634EF">
        <w:rPr>
          <w:rFonts w:ascii="Arial" w:eastAsia="Arial" w:hAnsi="Arial" w:cs="Arial"/>
          <w:bCs/>
          <w:color w:val="000000" w:themeColor="text1"/>
          <w:sz w:val="24"/>
          <w:szCs w:val="24"/>
        </w:rPr>
        <w:t>Analisar como diferentes estilos de liderança influenciam a motivação, o desempenho e o envolvimento dos colaboradores;</w:t>
      </w:r>
    </w:p>
    <w:p w14:paraId="55FDB0E6" w14:textId="0D3C8A43" w:rsidR="00A634EF" w:rsidRPr="00A634EF" w:rsidRDefault="00A634EF" w:rsidP="00A634EF">
      <w:pPr>
        <w:pStyle w:val="PargrafodaLista"/>
        <w:numPr>
          <w:ilvl w:val="0"/>
          <w:numId w:val="7"/>
        </w:numPr>
        <w:spacing w:after="0" w:line="360" w:lineRule="auto"/>
        <w:jc w:val="both"/>
        <w:rPr>
          <w:rFonts w:ascii="Arial" w:eastAsia="Arial" w:hAnsi="Arial" w:cs="Arial"/>
          <w:bCs/>
          <w:color w:val="000000" w:themeColor="text1"/>
          <w:sz w:val="24"/>
          <w:szCs w:val="24"/>
        </w:rPr>
      </w:pPr>
      <w:proofErr w:type="spellStart"/>
      <w:r w:rsidRPr="00A634EF">
        <w:rPr>
          <w:rFonts w:ascii="Arial" w:eastAsia="Arial" w:hAnsi="Arial" w:cs="Arial"/>
          <w:bCs/>
          <w:color w:val="000000" w:themeColor="text1"/>
          <w:sz w:val="24"/>
          <w:szCs w:val="24"/>
        </w:rPr>
        <w:t>InvestigAR</w:t>
      </w:r>
      <w:proofErr w:type="spellEnd"/>
      <w:r w:rsidRPr="00A634EF">
        <w:rPr>
          <w:rFonts w:ascii="Arial" w:eastAsia="Arial" w:hAnsi="Arial" w:cs="Arial"/>
          <w:bCs/>
          <w:color w:val="000000" w:themeColor="text1"/>
          <w:sz w:val="24"/>
          <w:szCs w:val="24"/>
        </w:rPr>
        <w:t xml:space="preserve"> quais fatores organizacionais</w:t>
      </w:r>
      <w:r>
        <w:rPr>
          <w:rFonts w:ascii="Arial" w:eastAsia="Arial" w:hAnsi="Arial" w:cs="Arial"/>
          <w:bCs/>
          <w:color w:val="000000" w:themeColor="text1"/>
          <w:sz w:val="24"/>
          <w:szCs w:val="24"/>
        </w:rPr>
        <w:t>,</w:t>
      </w:r>
      <w:r w:rsidRPr="00A634EF">
        <w:rPr>
          <w:rFonts w:ascii="Arial" w:eastAsia="Arial" w:hAnsi="Arial" w:cs="Arial"/>
          <w:bCs/>
          <w:color w:val="000000" w:themeColor="text1"/>
          <w:sz w:val="24"/>
          <w:szCs w:val="24"/>
        </w:rPr>
        <w:t xml:space="preserve"> como comunicação interna, clima, cultura, feedback, reconhecimento e autonomia</w:t>
      </w:r>
      <w:r>
        <w:rPr>
          <w:rFonts w:ascii="Arial" w:eastAsia="Arial" w:hAnsi="Arial" w:cs="Arial"/>
          <w:bCs/>
          <w:color w:val="000000" w:themeColor="text1"/>
          <w:sz w:val="24"/>
          <w:szCs w:val="24"/>
        </w:rPr>
        <w:t xml:space="preserve">, </w:t>
      </w:r>
      <w:r w:rsidRPr="00A634EF">
        <w:rPr>
          <w:rFonts w:ascii="Arial" w:eastAsia="Arial" w:hAnsi="Arial" w:cs="Arial"/>
          <w:bCs/>
          <w:color w:val="000000" w:themeColor="text1"/>
          <w:sz w:val="24"/>
          <w:szCs w:val="24"/>
        </w:rPr>
        <w:t>impactam diretamente o engajamento das equipes;</w:t>
      </w:r>
    </w:p>
    <w:p w14:paraId="00784E6F" w14:textId="77777777" w:rsidR="00A634EF" w:rsidRPr="00A634EF" w:rsidRDefault="00A634EF" w:rsidP="00A634EF">
      <w:pPr>
        <w:pStyle w:val="PargrafodaLista"/>
        <w:numPr>
          <w:ilvl w:val="0"/>
          <w:numId w:val="7"/>
        </w:numPr>
        <w:spacing w:after="0" w:line="360" w:lineRule="auto"/>
        <w:jc w:val="both"/>
        <w:rPr>
          <w:rFonts w:ascii="Arial" w:eastAsia="Arial" w:hAnsi="Arial" w:cs="Arial"/>
          <w:bCs/>
          <w:color w:val="000000" w:themeColor="text1"/>
          <w:sz w:val="24"/>
          <w:szCs w:val="24"/>
        </w:rPr>
      </w:pPr>
      <w:r w:rsidRPr="00A634EF">
        <w:rPr>
          <w:rFonts w:ascii="Arial" w:eastAsia="Arial" w:hAnsi="Arial" w:cs="Arial"/>
          <w:bCs/>
          <w:color w:val="000000" w:themeColor="text1"/>
          <w:sz w:val="24"/>
          <w:szCs w:val="24"/>
        </w:rPr>
        <w:t>Avaliar a percepção dos colaboradores sobre as estratégias de motivação adotadas pelas lideranças e sua efetividade no cotidiano de trabalho;</w:t>
      </w:r>
    </w:p>
    <w:p w14:paraId="2265BADD" w14:textId="77777777" w:rsidR="00A634EF" w:rsidRPr="00602962" w:rsidRDefault="00A634EF" w:rsidP="00602962">
      <w:pPr>
        <w:pStyle w:val="PargrafodaLista"/>
        <w:numPr>
          <w:ilvl w:val="0"/>
          <w:numId w:val="7"/>
        </w:numPr>
        <w:spacing w:after="0" w:line="360" w:lineRule="auto"/>
        <w:jc w:val="both"/>
        <w:rPr>
          <w:rFonts w:ascii="Arial" w:eastAsia="Arial" w:hAnsi="Arial" w:cs="Arial"/>
          <w:bCs/>
          <w:color w:val="000000" w:themeColor="text1"/>
          <w:sz w:val="24"/>
          <w:szCs w:val="24"/>
        </w:rPr>
      </w:pPr>
      <w:r w:rsidRPr="00602962">
        <w:rPr>
          <w:rFonts w:ascii="Arial" w:eastAsia="Arial" w:hAnsi="Arial" w:cs="Arial"/>
          <w:bCs/>
          <w:color w:val="000000" w:themeColor="text1"/>
          <w:sz w:val="24"/>
          <w:szCs w:val="24"/>
        </w:rPr>
        <w:t>Examinar a relação entre inteligência emocional da liderança e o fortalecimento do engajamento e da motivação intrínseca dos funcionários;</w:t>
      </w:r>
    </w:p>
    <w:p w14:paraId="33BE6F27" w14:textId="77777777" w:rsidR="00A634EF" w:rsidRPr="00602962" w:rsidRDefault="00A634EF" w:rsidP="00602962">
      <w:pPr>
        <w:pStyle w:val="PargrafodaLista"/>
        <w:numPr>
          <w:ilvl w:val="0"/>
          <w:numId w:val="7"/>
        </w:numPr>
        <w:spacing w:after="0" w:line="360" w:lineRule="auto"/>
        <w:jc w:val="both"/>
        <w:rPr>
          <w:rFonts w:ascii="Arial" w:eastAsia="Arial" w:hAnsi="Arial" w:cs="Arial"/>
          <w:bCs/>
          <w:color w:val="000000" w:themeColor="text1"/>
          <w:sz w:val="24"/>
          <w:szCs w:val="24"/>
        </w:rPr>
      </w:pPr>
      <w:r w:rsidRPr="00602962">
        <w:rPr>
          <w:rFonts w:ascii="Arial" w:eastAsia="Arial" w:hAnsi="Arial" w:cs="Arial"/>
          <w:bCs/>
          <w:color w:val="000000" w:themeColor="text1"/>
          <w:sz w:val="24"/>
          <w:szCs w:val="24"/>
        </w:rPr>
        <w:t>Propor recomendações de práticas de gestão eficazes que possam ser aplicadas pelas organizações para ampliar o engajamento e promover um ambiente corporativo mais saudável e produtivo.</w:t>
      </w:r>
    </w:p>
    <w:p w14:paraId="2BBAF95B" w14:textId="77777777" w:rsidR="00A634EF" w:rsidRPr="006A3CB6" w:rsidRDefault="00A634EF" w:rsidP="00A634EF">
      <w:pPr>
        <w:spacing w:after="0" w:line="360" w:lineRule="auto"/>
        <w:ind w:firstLine="709"/>
        <w:jc w:val="both"/>
        <w:rPr>
          <w:rFonts w:ascii="Arial" w:eastAsia="Arial" w:hAnsi="Arial" w:cs="Arial"/>
          <w:bCs/>
          <w:color w:val="000000" w:themeColor="text1"/>
          <w:sz w:val="24"/>
          <w:szCs w:val="24"/>
        </w:rPr>
      </w:pPr>
      <w:r w:rsidRPr="006A3CB6">
        <w:rPr>
          <w:rFonts w:ascii="Arial" w:eastAsia="Arial" w:hAnsi="Arial" w:cs="Arial"/>
          <w:bCs/>
          <w:color w:val="000000" w:themeColor="text1"/>
          <w:sz w:val="24"/>
          <w:szCs w:val="24"/>
        </w:rPr>
        <w:t xml:space="preserve">Assim, a presente pesquisa contribui para a compreensão dos mecanismos que sustentam o engajamento no ambiente corporativo, oferecendo subsídios teóricos </w:t>
      </w:r>
      <w:r w:rsidRPr="006A3CB6">
        <w:rPr>
          <w:rFonts w:ascii="Arial" w:eastAsia="Arial" w:hAnsi="Arial" w:cs="Arial"/>
          <w:bCs/>
          <w:color w:val="000000" w:themeColor="text1"/>
          <w:sz w:val="24"/>
          <w:szCs w:val="24"/>
        </w:rPr>
        <w:lastRenderedPageBreak/>
        <w:t>e práticos para gestores que buscam aprimorar suas estratégias de liderança e desenvolver equipes mais comprometidas, produtivas e resilientes. Ao abordar um tema de relevância crescente no ambiente organizacional contemporâneo, o estudo reforça a importância de práticas de gestão alinhadas às necessidades humanas e aos desafios emergentes do mundo do trabalho.</w:t>
      </w:r>
    </w:p>
    <w:p w14:paraId="2ABEB146" w14:textId="77777777" w:rsidR="0018733E" w:rsidRPr="00DE14F4" w:rsidRDefault="0018733E" w:rsidP="00844B34">
      <w:pPr>
        <w:spacing w:after="0" w:line="360" w:lineRule="auto"/>
        <w:ind w:firstLine="709"/>
        <w:jc w:val="both"/>
        <w:rPr>
          <w:rFonts w:ascii="Arial" w:eastAsia="Arial" w:hAnsi="Arial" w:cs="Arial"/>
          <w:bCs/>
          <w:sz w:val="24"/>
          <w:szCs w:val="24"/>
        </w:rPr>
      </w:pPr>
    </w:p>
    <w:p w14:paraId="1EEE08E2" w14:textId="107455C0" w:rsidR="00E95B9F" w:rsidRPr="00E76DDE" w:rsidRDefault="00F5521B">
      <w:pPr>
        <w:spacing w:after="0" w:line="360" w:lineRule="auto"/>
        <w:jc w:val="both"/>
        <w:rPr>
          <w:rFonts w:ascii="Arial" w:eastAsia="Arial" w:hAnsi="Arial" w:cs="Arial"/>
          <w:b/>
          <w:color w:val="000000" w:themeColor="text1"/>
          <w:sz w:val="24"/>
          <w:szCs w:val="24"/>
        </w:rPr>
      </w:pPr>
      <w:r w:rsidRPr="00E76DDE">
        <w:rPr>
          <w:rFonts w:ascii="Arial" w:eastAsia="Arial" w:hAnsi="Arial" w:cs="Arial"/>
          <w:b/>
          <w:color w:val="000000" w:themeColor="text1"/>
          <w:sz w:val="24"/>
          <w:szCs w:val="24"/>
        </w:rPr>
        <w:t>REFERENCIAL</w:t>
      </w:r>
      <w:r w:rsidRPr="00084083">
        <w:rPr>
          <w:rFonts w:ascii="Arial" w:eastAsia="Arial" w:hAnsi="Arial" w:cs="Arial"/>
          <w:b/>
          <w:sz w:val="24"/>
          <w:szCs w:val="24"/>
        </w:rPr>
        <w:t xml:space="preserve"> </w:t>
      </w:r>
      <w:r w:rsidR="00FC3FFF" w:rsidRPr="00084083">
        <w:rPr>
          <w:rFonts w:ascii="Arial" w:eastAsia="Arial" w:hAnsi="Arial" w:cs="Arial"/>
          <w:b/>
          <w:sz w:val="24"/>
          <w:szCs w:val="24"/>
        </w:rPr>
        <w:t>TEÓRIC</w:t>
      </w:r>
      <w:r w:rsidR="00084083" w:rsidRPr="00084083">
        <w:rPr>
          <w:rFonts w:ascii="Arial" w:eastAsia="Arial" w:hAnsi="Arial" w:cs="Arial"/>
          <w:b/>
          <w:sz w:val="24"/>
          <w:szCs w:val="24"/>
        </w:rPr>
        <w:t>O</w:t>
      </w:r>
    </w:p>
    <w:p w14:paraId="5AA156A5" w14:textId="77777777" w:rsidR="00FC3FFF" w:rsidRDefault="00FC3FFF" w:rsidP="000571F7">
      <w:pPr>
        <w:spacing w:after="0" w:line="360" w:lineRule="auto"/>
        <w:ind w:firstLine="709"/>
        <w:jc w:val="both"/>
        <w:rPr>
          <w:rFonts w:ascii="Arial" w:eastAsia="Arial" w:hAnsi="Arial" w:cs="Arial"/>
          <w:bCs/>
          <w:color w:val="000000" w:themeColor="text1"/>
          <w:sz w:val="24"/>
          <w:szCs w:val="24"/>
        </w:rPr>
      </w:pPr>
    </w:p>
    <w:p w14:paraId="722D6C88" w14:textId="77777777" w:rsidR="00C66EC9" w:rsidRDefault="000571F7" w:rsidP="000571F7">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Em uma visão genérica, é possível introduzir a gestão de pessoas como um ato de administrar, planejar, organizar e desenvolver o capital humano dentro de uma empresa ou organização. </w:t>
      </w:r>
    </w:p>
    <w:p w14:paraId="3AAA113F" w14:textId="59CB9448" w:rsidR="00C66EC9" w:rsidRDefault="00FE28DD" w:rsidP="00340585">
      <w:pPr>
        <w:spacing w:after="0" w:line="360" w:lineRule="auto"/>
        <w:ind w:firstLine="709"/>
        <w:jc w:val="both"/>
        <w:rPr>
          <w:rFonts w:ascii="Arial" w:eastAsia="Arial" w:hAnsi="Arial" w:cs="Arial"/>
          <w:bCs/>
          <w:color w:val="000000" w:themeColor="text1"/>
          <w:sz w:val="24"/>
          <w:szCs w:val="24"/>
        </w:rPr>
      </w:pPr>
      <w:r>
        <w:rPr>
          <w:rFonts w:ascii="Arial" w:eastAsia="Arial" w:hAnsi="Arial" w:cs="Arial"/>
          <w:bCs/>
          <w:color w:val="000000" w:themeColor="text1"/>
          <w:sz w:val="24"/>
          <w:szCs w:val="24"/>
        </w:rPr>
        <w:t>Segundo o D</w:t>
      </w:r>
      <w:r w:rsidR="000571F7" w:rsidRPr="000571F7">
        <w:rPr>
          <w:rFonts w:ascii="Arial" w:eastAsia="Arial" w:hAnsi="Arial" w:cs="Arial"/>
          <w:bCs/>
          <w:color w:val="000000" w:themeColor="text1"/>
          <w:sz w:val="24"/>
          <w:szCs w:val="24"/>
        </w:rPr>
        <w:t>icionário</w:t>
      </w:r>
      <w:r>
        <w:rPr>
          <w:rFonts w:ascii="Arial" w:eastAsia="Arial" w:hAnsi="Arial" w:cs="Arial"/>
          <w:bCs/>
          <w:color w:val="000000" w:themeColor="text1"/>
          <w:sz w:val="24"/>
          <w:szCs w:val="24"/>
        </w:rPr>
        <w:t xml:space="preserve"> Online de </w:t>
      </w:r>
      <w:r>
        <w:rPr>
          <w:rStyle w:val="Refdenotaderodap"/>
          <w:rFonts w:ascii="Arial" w:eastAsia="Arial" w:hAnsi="Arial" w:cs="Arial"/>
          <w:bCs/>
          <w:color w:val="000000" w:themeColor="text1"/>
          <w:sz w:val="24"/>
          <w:szCs w:val="24"/>
        </w:rPr>
        <w:footnoteReference w:id="1"/>
      </w:r>
      <w:r>
        <w:rPr>
          <w:rFonts w:ascii="Arial" w:eastAsia="Arial" w:hAnsi="Arial" w:cs="Arial"/>
          <w:bCs/>
          <w:color w:val="000000" w:themeColor="text1"/>
          <w:sz w:val="24"/>
          <w:szCs w:val="24"/>
        </w:rPr>
        <w:t>Português</w:t>
      </w:r>
      <w:r w:rsidR="000571F7" w:rsidRPr="000571F7">
        <w:rPr>
          <w:rFonts w:ascii="Arial" w:eastAsia="Arial" w:hAnsi="Arial" w:cs="Arial"/>
          <w:bCs/>
          <w:color w:val="000000" w:themeColor="text1"/>
          <w:sz w:val="24"/>
          <w:szCs w:val="24"/>
        </w:rPr>
        <w:t xml:space="preserve">, a palavra “gestão” vem do latim </w:t>
      </w:r>
      <w:proofErr w:type="spellStart"/>
      <w:r w:rsidR="000571F7" w:rsidRPr="007810F6">
        <w:rPr>
          <w:rFonts w:ascii="Arial" w:eastAsia="Arial" w:hAnsi="Arial" w:cs="Arial"/>
          <w:bCs/>
          <w:i/>
          <w:iCs/>
          <w:color w:val="000000" w:themeColor="text1"/>
          <w:sz w:val="24"/>
          <w:szCs w:val="24"/>
        </w:rPr>
        <w:t>gestione</w:t>
      </w:r>
      <w:proofErr w:type="spellEnd"/>
      <w:r w:rsidR="000571F7" w:rsidRPr="000571F7">
        <w:rPr>
          <w:rFonts w:ascii="Arial" w:eastAsia="Arial" w:hAnsi="Arial" w:cs="Arial"/>
          <w:bCs/>
          <w:color w:val="000000" w:themeColor="text1"/>
          <w:sz w:val="24"/>
          <w:szCs w:val="24"/>
        </w:rPr>
        <w:t xml:space="preserve">, que significa gerenciar recursos para uma finalidade específica, e, quando aplicada às pessoas, seu foco é o desenvolvimento e bem-estar dos colaboradores. </w:t>
      </w:r>
    </w:p>
    <w:p w14:paraId="0CD76C0C" w14:textId="3C0B5E53" w:rsidR="000571F7" w:rsidRDefault="000571F7" w:rsidP="000571F7">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Assim, a gestão sofreu considerável mudança nas últimas décadas, assumindo um caráter mais humano, com papéis de liderança menos voltados para relações de comando e mais orientados ao papel de facilitador </w:t>
      </w:r>
      <w:r w:rsidR="00C66EC9" w:rsidRPr="00ED54F3">
        <w:rPr>
          <w:rFonts w:ascii="Arial" w:eastAsia="Arial" w:hAnsi="Arial" w:cs="Arial"/>
          <w:bCs/>
          <w:color w:val="000000" w:themeColor="text1"/>
          <w:sz w:val="24"/>
          <w:szCs w:val="24"/>
        </w:rPr>
        <w:t>com</w:t>
      </w:r>
      <w:r w:rsidRPr="000571F7">
        <w:rPr>
          <w:rFonts w:ascii="Arial" w:eastAsia="Arial" w:hAnsi="Arial" w:cs="Arial"/>
          <w:bCs/>
          <w:color w:val="000000" w:themeColor="text1"/>
          <w:sz w:val="24"/>
          <w:szCs w:val="24"/>
        </w:rPr>
        <w:t xml:space="preserve"> valorização do capital humano. Nesse sentido, Chiavenato (2014, p. 92) destaca que:</w:t>
      </w:r>
    </w:p>
    <w:p w14:paraId="4D0F0151" w14:textId="77777777" w:rsidR="0052640E" w:rsidRPr="000571F7" w:rsidRDefault="0052640E" w:rsidP="000571F7">
      <w:pPr>
        <w:spacing w:after="0" w:line="360" w:lineRule="auto"/>
        <w:ind w:firstLine="709"/>
        <w:jc w:val="both"/>
        <w:rPr>
          <w:rFonts w:ascii="Arial" w:eastAsia="Arial" w:hAnsi="Arial" w:cs="Arial"/>
          <w:bCs/>
          <w:color w:val="000000" w:themeColor="text1"/>
          <w:sz w:val="24"/>
          <w:szCs w:val="24"/>
        </w:rPr>
      </w:pPr>
    </w:p>
    <w:p w14:paraId="3F58CDAB" w14:textId="3A0847EF" w:rsidR="000571F7" w:rsidRPr="0052640E" w:rsidRDefault="000571F7" w:rsidP="007810F6">
      <w:pPr>
        <w:spacing w:after="0" w:line="240" w:lineRule="auto"/>
        <w:ind w:left="2268"/>
        <w:jc w:val="both"/>
        <w:rPr>
          <w:rFonts w:ascii="Arial" w:eastAsia="Arial" w:hAnsi="Arial" w:cs="Arial"/>
          <w:bCs/>
          <w:color w:val="000000" w:themeColor="text1"/>
        </w:rPr>
      </w:pPr>
      <w:r w:rsidRPr="0052640E">
        <w:rPr>
          <w:rFonts w:ascii="Arial" w:eastAsia="Arial" w:hAnsi="Arial" w:cs="Arial"/>
          <w:bCs/>
          <w:color w:val="000000" w:themeColor="text1"/>
        </w:rPr>
        <w:t>Os executivos precisam aceitar suas novas incumbências de aprender a lidar com pessoas e com práticas de GP. Além do aprendizado dessas práticas – como selecionar pessoas, entrevistar, treinar, tomar decisões sobre pessoas –, torna-se também necessário mudar o estilo de gestão dos executivos. Estes precisam deixar de ser comandantes e mandantes para se tornarem líderes de sua equipe de colaboradores. Aspectos como liderança, comunicação, trabalho em equipe, motivação e aspectos comportamentais são fundamentais no planejamento tático de GP.</w:t>
      </w:r>
    </w:p>
    <w:p w14:paraId="4CD6F3A2" w14:textId="77777777" w:rsidR="000571F7" w:rsidRPr="000571F7" w:rsidRDefault="000571F7" w:rsidP="000571F7">
      <w:pPr>
        <w:spacing w:after="0" w:line="360" w:lineRule="auto"/>
        <w:ind w:firstLine="709"/>
        <w:jc w:val="both"/>
        <w:rPr>
          <w:rFonts w:ascii="Arial" w:eastAsia="Arial" w:hAnsi="Arial" w:cs="Arial"/>
          <w:bCs/>
          <w:color w:val="000000" w:themeColor="text1"/>
          <w:sz w:val="24"/>
          <w:szCs w:val="24"/>
        </w:rPr>
      </w:pPr>
    </w:p>
    <w:p w14:paraId="6D4D77DF" w14:textId="3BEDD912" w:rsidR="000571F7" w:rsidRPr="000571F7" w:rsidRDefault="000571F7" w:rsidP="000571F7">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Nesse contexto, é importante que os gestores considerem as necessidades dos colaboradores, a fim de proporcionar um ambiente propício para o desenvolvimento de seu potencial. Compreender as necessidades básicas até alcançar a </w:t>
      </w:r>
      <w:r w:rsidR="00340585" w:rsidRPr="000571F7">
        <w:rPr>
          <w:rFonts w:ascii="Arial" w:eastAsia="Arial" w:hAnsi="Arial" w:cs="Arial"/>
          <w:bCs/>
          <w:color w:val="000000" w:themeColor="text1"/>
          <w:sz w:val="24"/>
          <w:szCs w:val="24"/>
        </w:rPr>
        <w:t>autor realização</w:t>
      </w:r>
      <w:r w:rsidRPr="000571F7">
        <w:rPr>
          <w:rFonts w:ascii="Arial" w:eastAsia="Arial" w:hAnsi="Arial" w:cs="Arial"/>
          <w:bCs/>
          <w:color w:val="000000" w:themeColor="text1"/>
          <w:sz w:val="24"/>
          <w:szCs w:val="24"/>
        </w:rPr>
        <w:t xml:space="preserve"> do colaborador é fundamental para uma base sólida de crescimento. Para tanto, pode-se utilizar como referencial a Pirâmide de Necessidades de Maslow (Figura 1).</w:t>
      </w:r>
    </w:p>
    <w:p w14:paraId="4FFCA70A" w14:textId="77777777" w:rsidR="000571F7" w:rsidRPr="000571F7" w:rsidRDefault="000571F7" w:rsidP="000571F7">
      <w:pPr>
        <w:spacing w:after="0" w:line="360" w:lineRule="auto"/>
        <w:ind w:firstLine="709"/>
        <w:jc w:val="both"/>
        <w:rPr>
          <w:rFonts w:ascii="Arial" w:eastAsia="Arial" w:hAnsi="Arial" w:cs="Arial"/>
          <w:bCs/>
          <w:color w:val="000000" w:themeColor="text1"/>
          <w:sz w:val="24"/>
          <w:szCs w:val="24"/>
        </w:rPr>
      </w:pPr>
    </w:p>
    <w:p w14:paraId="73FBA096" w14:textId="77777777" w:rsidR="009E26DD" w:rsidRDefault="009E26DD" w:rsidP="00340585">
      <w:pPr>
        <w:spacing w:after="0" w:line="240" w:lineRule="auto"/>
        <w:jc w:val="center"/>
        <w:rPr>
          <w:rFonts w:ascii="Arial" w:eastAsia="Arial" w:hAnsi="Arial" w:cs="Arial"/>
          <w:bCs/>
          <w:sz w:val="24"/>
          <w:szCs w:val="24"/>
        </w:rPr>
      </w:pPr>
      <w:r>
        <w:rPr>
          <w:noProof/>
        </w:rPr>
        <w:lastRenderedPageBreak/>
        <w:drawing>
          <wp:inline distT="0" distB="0" distL="0" distR="0" wp14:anchorId="1FE61951" wp14:editId="510631FA">
            <wp:extent cx="3492742" cy="2324100"/>
            <wp:effectExtent l="0" t="0" r="0" b="0"/>
            <wp:docPr id="1208570694" name="Imagem 1" descr="Ma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9666" cy="2328708"/>
                    </a:xfrm>
                    <a:prstGeom prst="rect">
                      <a:avLst/>
                    </a:prstGeom>
                    <a:noFill/>
                    <a:ln>
                      <a:noFill/>
                    </a:ln>
                  </pic:spPr>
                </pic:pic>
              </a:graphicData>
            </a:graphic>
          </wp:inline>
        </w:drawing>
      </w:r>
    </w:p>
    <w:p w14:paraId="7F5813CE" w14:textId="77777777" w:rsidR="00340585" w:rsidRDefault="00340585" w:rsidP="00340585">
      <w:pPr>
        <w:spacing w:after="0" w:line="240" w:lineRule="auto"/>
        <w:jc w:val="center"/>
        <w:rPr>
          <w:rFonts w:ascii="Arial" w:eastAsia="Arial" w:hAnsi="Arial" w:cs="Arial"/>
          <w:bCs/>
          <w:sz w:val="20"/>
          <w:szCs w:val="20"/>
        </w:rPr>
      </w:pPr>
    </w:p>
    <w:p w14:paraId="174C9767" w14:textId="3196C032" w:rsidR="009E26DD" w:rsidRPr="00610C0C" w:rsidRDefault="009E26DD" w:rsidP="00340585">
      <w:pPr>
        <w:spacing w:after="0" w:line="240" w:lineRule="auto"/>
        <w:jc w:val="center"/>
        <w:rPr>
          <w:rFonts w:ascii="Arial" w:eastAsia="Arial" w:hAnsi="Arial" w:cs="Arial"/>
          <w:bCs/>
          <w:sz w:val="20"/>
          <w:szCs w:val="20"/>
        </w:rPr>
      </w:pPr>
      <w:r w:rsidRPr="00610C0C">
        <w:rPr>
          <w:rFonts w:ascii="Arial" w:eastAsia="Arial" w:hAnsi="Arial" w:cs="Arial"/>
          <w:bCs/>
          <w:sz w:val="20"/>
          <w:szCs w:val="20"/>
        </w:rPr>
        <w:t>Figura 1 – Pirâmide de necessidades de Maslow</w:t>
      </w:r>
    </w:p>
    <w:p w14:paraId="7058F619" w14:textId="59937C98" w:rsidR="009E26DD" w:rsidRDefault="009E26DD" w:rsidP="00340585">
      <w:pPr>
        <w:spacing w:after="0" w:line="240" w:lineRule="auto"/>
        <w:jc w:val="center"/>
        <w:rPr>
          <w:rFonts w:ascii="Arial" w:eastAsia="Arial" w:hAnsi="Arial" w:cs="Arial"/>
          <w:bCs/>
          <w:sz w:val="20"/>
          <w:szCs w:val="20"/>
        </w:rPr>
      </w:pPr>
      <w:r w:rsidRPr="00610C0C">
        <w:rPr>
          <w:rFonts w:ascii="Arial" w:eastAsia="Arial" w:hAnsi="Arial" w:cs="Arial"/>
          <w:bCs/>
          <w:sz w:val="20"/>
          <w:szCs w:val="20"/>
        </w:rPr>
        <w:t xml:space="preserve">Fonte: </w:t>
      </w:r>
      <w:proofErr w:type="spellStart"/>
      <w:r w:rsidRPr="00610C0C">
        <w:rPr>
          <w:rFonts w:ascii="Arial" w:eastAsia="Arial" w:hAnsi="Arial" w:cs="Arial"/>
          <w:bCs/>
          <w:sz w:val="20"/>
          <w:szCs w:val="20"/>
        </w:rPr>
        <w:t>P</w:t>
      </w:r>
      <w:r w:rsidR="007810F6" w:rsidRPr="00610C0C">
        <w:rPr>
          <w:rFonts w:ascii="Arial" w:eastAsia="Arial" w:hAnsi="Arial" w:cs="Arial"/>
          <w:bCs/>
          <w:sz w:val="20"/>
          <w:szCs w:val="20"/>
        </w:rPr>
        <w:t>eriard</w:t>
      </w:r>
      <w:proofErr w:type="spellEnd"/>
      <w:r w:rsidRPr="00610C0C">
        <w:rPr>
          <w:rFonts w:ascii="Arial" w:eastAsia="Arial" w:hAnsi="Arial" w:cs="Arial"/>
          <w:bCs/>
          <w:sz w:val="20"/>
          <w:szCs w:val="20"/>
        </w:rPr>
        <w:t xml:space="preserve"> (2018).</w:t>
      </w:r>
    </w:p>
    <w:p w14:paraId="5C20B8AF" w14:textId="77777777" w:rsidR="000571F7" w:rsidRPr="000571F7" w:rsidRDefault="000571F7" w:rsidP="000571F7">
      <w:pPr>
        <w:spacing w:after="0" w:line="360" w:lineRule="auto"/>
        <w:ind w:firstLine="709"/>
        <w:jc w:val="both"/>
        <w:rPr>
          <w:rFonts w:ascii="Arial" w:eastAsia="Arial" w:hAnsi="Arial" w:cs="Arial"/>
          <w:bCs/>
          <w:color w:val="000000" w:themeColor="text1"/>
          <w:sz w:val="24"/>
          <w:szCs w:val="24"/>
        </w:rPr>
      </w:pPr>
    </w:p>
    <w:p w14:paraId="0E5DA881" w14:textId="7F68029A" w:rsidR="000571F7" w:rsidRPr="000571F7" w:rsidRDefault="000571F7" w:rsidP="0052640E">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Segundo </w:t>
      </w:r>
      <w:proofErr w:type="spellStart"/>
      <w:r w:rsidRPr="000571F7">
        <w:rPr>
          <w:rFonts w:ascii="Arial" w:eastAsia="Arial" w:hAnsi="Arial" w:cs="Arial"/>
          <w:bCs/>
          <w:color w:val="000000" w:themeColor="text1"/>
          <w:sz w:val="24"/>
          <w:szCs w:val="24"/>
        </w:rPr>
        <w:t>Periard</w:t>
      </w:r>
      <w:proofErr w:type="spellEnd"/>
      <w:r w:rsidRPr="000571F7">
        <w:rPr>
          <w:rFonts w:ascii="Arial" w:eastAsia="Arial" w:hAnsi="Arial" w:cs="Arial"/>
          <w:bCs/>
          <w:color w:val="000000" w:themeColor="text1"/>
          <w:sz w:val="24"/>
          <w:szCs w:val="24"/>
        </w:rPr>
        <w:t xml:space="preserve"> (2018), a pirâmide inicia-se pela base, composta pelas necessidades fisiológicas (fome, sede, sono, respiração, abrigo, vestuário e reprodução). O segundo nível corresponde à segurança (segurança pessoal, proteção contra a violência, segurança financeira e de saúde). O terceiro abrange as necessidades sociais (amizade, família, intimidade e aceitação social). O quarto nível refere-se ao status/estima (reconhecimento, prestígio, orgulho e autoconfiança). Por fim, no topo, encontra-se a </w:t>
      </w:r>
      <w:r w:rsidR="00340585" w:rsidRPr="000571F7">
        <w:rPr>
          <w:rFonts w:ascii="Arial" w:eastAsia="Arial" w:hAnsi="Arial" w:cs="Arial"/>
          <w:bCs/>
          <w:color w:val="000000" w:themeColor="text1"/>
          <w:sz w:val="24"/>
          <w:szCs w:val="24"/>
        </w:rPr>
        <w:t>autor realização</w:t>
      </w:r>
      <w:r w:rsidRPr="000571F7">
        <w:rPr>
          <w:rFonts w:ascii="Arial" w:eastAsia="Arial" w:hAnsi="Arial" w:cs="Arial"/>
          <w:bCs/>
          <w:color w:val="000000" w:themeColor="text1"/>
          <w:sz w:val="24"/>
          <w:szCs w:val="24"/>
        </w:rPr>
        <w:t xml:space="preserve"> (criatividade, moralidade, espontaneidade, resolução de problemas e aproveitamento do potencial).</w:t>
      </w:r>
    </w:p>
    <w:p w14:paraId="6134A1CE" w14:textId="77777777" w:rsidR="00C66EC9" w:rsidRDefault="000571F7" w:rsidP="0052640E">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Nesse sentido, compreender as necessidades humanas é um passo inicial para entender conceitos mais recentes, como o engajamento dos funcionários. O engajamento pode ser definido como um estado psicológico que envolve dedicação, absorção e vigor na realização das atividades laborais, indo além da mera satisfação no ambiente de trabalho. </w:t>
      </w:r>
    </w:p>
    <w:p w14:paraId="7E970794" w14:textId="19F82EA0" w:rsidR="000571F7" w:rsidRPr="000571F7" w:rsidRDefault="00C66EC9" w:rsidP="0052640E">
      <w:pPr>
        <w:spacing w:after="0" w:line="360" w:lineRule="auto"/>
        <w:ind w:firstLine="709"/>
        <w:jc w:val="both"/>
        <w:rPr>
          <w:rFonts w:ascii="Arial" w:eastAsia="Arial" w:hAnsi="Arial" w:cs="Arial"/>
          <w:bCs/>
          <w:color w:val="000000" w:themeColor="text1"/>
          <w:sz w:val="24"/>
          <w:szCs w:val="24"/>
        </w:rPr>
      </w:pPr>
      <w:r w:rsidRPr="00ED54F3">
        <w:rPr>
          <w:rFonts w:ascii="Arial" w:eastAsia="Arial" w:hAnsi="Arial" w:cs="Arial"/>
          <w:bCs/>
          <w:color w:val="000000" w:themeColor="text1"/>
          <w:sz w:val="24"/>
          <w:szCs w:val="24"/>
        </w:rPr>
        <w:t xml:space="preserve">De acordo com </w:t>
      </w:r>
      <w:r w:rsidR="000571F7" w:rsidRPr="000571F7">
        <w:rPr>
          <w:rFonts w:ascii="Arial" w:eastAsia="Arial" w:hAnsi="Arial" w:cs="Arial"/>
          <w:bCs/>
          <w:color w:val="000000" w:themeColor="text1"/>
          <w:sz w:val="24"/>
          <w:szCs w:val="24"/>
        </w:rPr>
        <w:t xml:space="preserve">Kahn (1990), considerado um dos pioneiros no estudo do tema, </w:t>
      </w:r>
      <w:r>
        <w:rPr>
          <w:rFonts w:ascii="Arial" w:eastAsia="Arial" w:hAnsi="Arial" w:cs="Arial"/>
          <w:bCs/>
          <w:color w:val="000000" w:themeColor="text1"/>
          <w:sz w:val="24"/>
          <w:szCs w:val="24"/>
        </w:rPr>
        <w:t xml:space="preserve">o </w:t>
      </w:r>
      <w:r w:rsidR="000571F7" w:rsidRPr="000571F7">
        <w:rPr>
          <w:rFonts w:ascii="Arial" w:eastAsia="Arial" w:hAnsi="Arial" w:cs="Arial"/>
          <w:bCs/>
          <w:color w:val="000000" w:themeColor="text1"/>
          <w:sz w:val="24"/>
          <w:szCs w:val="24"/>
        </w:rPr>
        <w:t xml:space="preserve">engajamento </w:t>
      </w:r>
      <w:r w:rsidRPr="00ED54F3">
        <w:rPr>
          <w:rFonts w:ascii="Arial" w:eastAsia="Arial" w:hAnsi="Arial" w:cs="Arial"/>
          <w:bCs/>
          <w:color w:val="000000" w:themeColor="text1"/>
          <w:sz w:val="24"/>
          <w:szCs w:val="24"/>
        </w:rPr>
        <w:t xml:space="preserve">pode ser entendido </w:t>
      </w:r>
      <w:r w:rsidR="000571F7" w:rsidRPr="000571F7">
        <w:rPr>
          <w:rFonts w:ascii="Arial" w:eastAsia="Arial" w:hAnsi="Arial" w:cs="Arial"/>
          <w:bCs/>
          <w:color w:val="000000" w:themeColor="text1"/>
          <w:sz w:val="24"/>
          <w:szCs w:val="24"/>
        </w:rPr>
        <w:t xml:space="preserve">como a expressão do self físico, cognitivo e emocional no desempenho de papéis organizacionais. De forma complementar, </w:t>
      </w:r>
      <w:proofErr w:type="spellStart"/>
      <w:r w:rsidR="000571F7" w:rsidRPr="000571F7">
        <w:rPr>
          <w:rFonts w:ascii="Arial" w:eastAsia="Arial" w:hAnsi="Arial" w:cs="Arial"/>
          <w:bCs/>
          <w:color w:val="000000" w:themeColor="text1"/>
          <w:sz w:val="24"/>
          <w:szCs w:val="24"/>
        </w:rPr>
        <w:t>Kruse</w:t>
      </w:r>
      <w:proofErr w:type="spellEnd"/>
      <w:r w:rsidR="000571F7" w:rsidRPr="000571F7">
        <w:rPr>
          <w:rFonts w:ascii="Arial" w:eastAsia="Arial" w:hAnsi="Arial" w:cs="Arial"/>
          <w:bCs/>
          <w:color w:val="000000" w:themeColor="text1"/>
          <w:sz w:val="24"/>
          <w:szCs w:val="24"/>
        </w:rPr>
        <w:t xml:space="preserve"> (2012) reforça que o engajamento está associado a um vínculo emocional e mental profundo do indivíduo com a empresa e sua missão, o que o leva a investir mais energia e esforço no alcance dos objetivos organizacionais. Assim, diferentemente da satisfação, que se relaciona a uma percepção positiva ou prazerosa no trabalho, o engajamento implica comprometimento ativo e alinhamento entre os valores do colaborador e da organização.</w:t>
      </w:r>
    </w:p>
    <w:p w14:paraId="4F5AFD56" w14:textId="2302F40A" w:rsidR="000571F7" w:rsidRPr="000571F7" w:rsidRDefault="000571F7" w:rsidP="0052640E">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lastRenderedPageBreak/>
        <w:t>A relevância do engajamento no contexto corporativo manifesta-se tanto para a empresa quanto para o indivíduo. No nível organizacional, funcionários engajados tendem a apresentar maior produtividade, criatividade e lealdade, reduzindo índices de absenteísmo e rotatividade (Kahn, 1990</w:t>
      </w:r>
      <w:r w:rsidR="001C15B3">
        <w:rPr>
          <w:rFonts w:ascii="Arial" w:eastAsia="Arial" w:hAnsi="Arial" w:cs="Arial"/>
          <w:bCs/>
          <w:color w:val="000000" w:themeColor="text1"/>
          <w:sz w:val="24"/>
          <w:szCs w:val="24"/>
        </w:rPr>
        <w:t>) (</w:t>
      </w:r>
      <w:proofErr w:type="spellStart"/>
      <w:r w:rsidRPr="000571F7">
        <w:rPr>
          <w:rFonts w:ascii="Arial" w:eastAsia="Arial" w:hAnsi="Arial" w:cs="Arial"/>
          <w:bCs/>
          <w:color w:val="000000" w:themeColor="text1"/>
          <w:sz w:val="24"/>
          <w:szCs w:val="24"/>
        </w:rPr>
        <w:t>Kruse</w:t>
      </w:r>
      <w:proofErr w:type="spellEnd"/>
      <w:r w:rsidRPr="000571F7">
        <w:rPr>
          <w:rFonts w:ascii="Arial" w:eastAsia="Arial" w:hAnsi="Arial" w:cs="Arial"/>
          <w:bCs/>
          <w:color w:val="000000" w:themeColor="text1"/>
          <w:sz w:val="24"/>
          <w:szCs w:val="24"/>
        </w:rPr>
        <w:t>, 2012). Já para o colaborador, esse estado contribui para uma maior sensação de propósito, realização pessoal e bem-estar no ambiente de trabalho. Dessa forma, o engajamento não deve ser confundido apenas com satisfação ou motivação momentânea, mas reconhecido como um fator estratégico que fortalece a relação entre pessoas e organizações, gerando benefícios mútuos e sustentáveis a longo prazo.</w:t>
      </w:r>
    </w:p>
    <w:p w14:paraId="06719C9F" w14:textId="66E3A003" w:rsidR="000571F7" w:rsidRPr="000571F7" w:rsidRDefault="000571F7" w:rsidP="0052640E">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As estratégias de gestão voltadas ao fortalecimento do engajamento dos colaboradores estão fortemente relacionadas às práticas que promovem motivação, reconhecimento e pertencimento. O reconhecimento, seja por meio de recompensas monetárias ou não monetárias, é apontado pela literatura como um fator determinante para elevar os níveis de dedicação e comprometimento. Nesse sentido, observa-se a conexão direta com a teoria das necessidades de </w:t>
      </w:r>
      <w:proofErr w:type="spellStart"/>
      <w:r w:rsidRPr="000571F7">
        <w:rPr>
          <w:rFonts w:ascii="Arial" w:eastAsia="Arial" w:hAnsi="Arial" w:cs="Arial"/>
          <w:bCs/>
          <w:color w:val="000000" w:themeColor="text1"/>
          <w:sz w:val="24"/>
          <w:szCs w:val="24"/>
        </w:rPr>
        <w:t>McClelland</w:t>
      </w:r>
      <w:proofErr w:type="spellEnd"/>
      <w:r w:rsidRPr="000571F7">
        <w:rPr>
          <w:rFonts w:ascii="Arial" w:eastAsia="Arial" w:hAnsi="Arial" w:cs="Arial"/>
          <w:bCs/>
          <w:color w:val="000000" w:themeColor="text1"/>
          <w:sz w:val="24"/>
          <w:szCs w:val="24"/>
        </w:rPr>
        <w:t>, especialmente no que diz respeito à necessidade de realização, pois o reconhecimento satisfaz o desejo do indivíduo de ver seu esforço valorizado e seu desempenho validado (</w:t>
      </w:r>
      <w:proofErr w:type="spellStart"/>
      <w:r w:rsidRPr="000571F7">
        <w:rPr>
          <w:rFonts w:ascii="Arial" w:eastAsia="Arial" w:hAnsi="Arial" w:cs="Arial"/>
          <w:bCs/>
          <w:color w:val="000000" w:themeColor="text1"/>
          <w:sz w:val="24"/>
          <w:szCs w:val="24"/>
        </w:rPr>
        <w:t>McClelland</w:t>
      </w:r>
      <w:proofErr w:type="spellEnd"/>
      <w:r w:rsidRPr="000571F7">
        <w:rPr>
          <w:rFonts w:ascii="Arial" w:eastAsia="Arial" w:hAnsi="Arial" w:cs="Arial"/>
          <w:bCs/>
          <w:color w:val="000000" w:themeColor="text1"/>
          <w:sz w:val="24"/>
          <w:szCs w:val="24"/>
        </w:rPr>
        <w:t>, 1987).</w:t>
      </w:r>
    </w:p>
    <w:p w14:paraId="39485FDD" w14:textId="33D8313A" w:rsidR="000571F7" w:rsidRPr="000571F7" w:rsidRDefault="000571F7" w:rsidP="0052640E">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Outro aspecto fundamental refere-se à cultura e ao clima organizacional, que constituem o alicerce do engajamento sustentável. Um ambiente de trabalho pautado por valores claros, confiança mútua e colaboração</w:t>
      </w:r>
      <w:r w:rsidR="00084083">
        <w:rPr>
          <w:rFonts w:ascii="Arial" w:eastAsia="Arial" w:hAnsi="Arial" w:cs="Arial"/>
          <w:bCs/>
          <w:color w:val="000000" w:themeColor="text1"/>
          <w:sz w:val="24"/>
          <w:szCs w:val="24"/>
        </w:rPr>
        <w:t>,</w:t>
      </w:r>
      <w:r w:rsidRPr="000571F7">
        <w:rPr>
          <w:rFonts w:ascii="Arial" w:eastAsia="Arial" w:hAnsi="Arial" w:cs="Arial"/>
          <w:bCs/>
          <w:color w:val="000000" w:themeColor="text1"/>
          <w:sz w:val="24"/>
          <w:szCs w:val="24"/>
        </w:rPr>
        <w:t xml:space="preserve"> tende a favorecer </w:t>
      </w:r>
      <w:r w:rsidR="00084083" w:rsidRPr="00920CF9">
        <w:rPr>
          <w:rFonts w:ascii="Arial" w:eastAsia="Arial" w:hAnsi="Arial" w:cs="Arial"/>
          <w:bCs/>
          <w:color w:val="000000" w:themeColor="text1"/>
          <w:sz w:val="24"/>
          <w:szCs w:val="24"/>
        </w:rPr>
        <w:t>uma maior</w:t>
      </w:r>
      <w:r w:rsidR="00084083">
        <w:rPr>
          <w:rFonts w:ascii="Arial" w:eastAsia="Arial" w:hAnsi="Arial" w:cs="Arial"/>
          <w:bCs/>
          <w:color w:val="00B050"/>
          <w:sz w:val="24"/>
          <w:szCs w:val="24"/>
        </w:rPr>
        <w:t xml:space="preserve"> </w:t>
      </w:r>
      <w:r w:rsidRPr="000571F7">
        <w:rPr>
          <w:rFonts w:ascii="Arial" w:eastAsia="Arial" w:hAnsi="Arial" w:cs="Arial"/>
          <w:bCs/>
          <w:color w:val="000000" w:themeColor="text1"/>
          <w:sz w:val="24"/>
          <w:szCs w:val="24"/>
        </w:rPr>
        <w:t xml:space="preserve">identificação do funcionário com a organização. Além disso, a liderança exerce papel central nesse processo: líderes inspiradores, capazes de manter uma comunicação transparente, são apontados como catalisadores do engajamento, pois fortalecem o alinhamento entre os objetivos pessoais e organizacionais (Bass; </w:t>
      </w:r>
      <w:proofErr w:type="spellStart"/>
      <w:r w:rsidRPr="000571F7">
        <w:rPr>
          <w:rFonts w:ascii="Arial" w:eastAsia="Arial" w:hAnsi="Arial" w:cs="Arial"/>
          <w:bCs/>
          <w:color w:val="000000" w:themeColor="text1"/>
          <w:sz w:val="24"/>
          <w:szCs w:val="24"/>
        </w:rPr>
        <w:t>Avolio</w:t>
      </w:r>
      <w:proofErr w:type="spellEnd"/>
      <w:r w:rsidRPr="000571F7">
        <w:rPr>
          <w:rFonts w:ascii="Arial" w:eastAsia="Arial" w:hAnsi="Arial" w:cs="Arial"/>
          <w:bCs/>
          <w:color w:val="000000" w:themeColor="text1"/>
          <w:sz w:val="24"/>
          <w:szCs w:val="24"/>
        </w:rPr>
        <w:t>, 1994). A presença de uma liderança transformacional, que promove significado e propósito, contribui para que os colaboradores expressem maior envolvimento e dedicação em suas atividades.</w:t>
      </w:r>
    </w:p>
    <w:p w14:paraId="6F221C08" w14:textId="07BB85AE" w:rsidR="000571F7" w:rsidRDefault="000571F7" w:rsidP="000571F7">
      <w:pPr>
        <w:spacing w:after="0" w:line="360" w:lineRule="auto"/>
        <w:ind w:firstLine="709"/>
        <w:jc w:val="both"/>
        <w:rPr>
          <w:rFonts w:ascii="Arial" w:eastAsia="Arial" w:hAnsi="Arial" w:cs="Arial"/>
          <w:bCs/>
          <w:color w:val="000000" w:themeColor="text1"/>
          <w:sz w:val="24"/>
          <w:szCs w:val="24"/>
        </w:rPr>
      </w:pPr>
      <w:r w:rsidRPr="000571F7">
        <w:rPr>
          <w:rFonts w:ascii="Arial" w:eastAsia="Arial" w:hAnsi="Arial" w:cs="Arial"/>
          <w:bCs/>
          <w:color w:val="000000" w:themeColor="text1"/>
          <w:sz w:val="24"/>
          <w:szCs w:val="24"/>
        </w:rPr>
        <w:t xml:space="preserve">Por fim, o desenvolvimento profissional e a valorização do bem-estar também figuram entre as práticas mais relevantes. Planos de carreira estruturados, oportunidades de capacitação contínua e flexibilidade para equilibrar vida pessoal e profissional estimulam a permanência e a motivação dos trabalhadores. Essas iniciativas não apenas atendem às necessidades de crescimento e autonomia, descritas em teorias motivacionais clássicas, mas também fortalecem a percepção de </w:t>
      </w:r>
      <w:r w:rsidRPr="000571F7">
        <w:rPr>
          <w:rFonts w:ascii="Arial" w:eastAsia="Arial" w:hAnsi="Arial" w:cs="Arial"/>
          <w:bCs/>
          <w:color w:val="000000" w:themeColor="text1"/>
          <w:sz w:val="24"/>
          <w:szCs w:val="24"/>
        </w:rPr>
        <w:lastRenderedPageBreak/>
        <w:t>justiça e apoio por parte da organização. Dessa forma, ao integrar reconhecimento, cultura, liderança, desenvolvimento e bem-estar, as práticas de gestão contribuem para um ambiente engajador, capaz de gerar resultados sustentáveis tanto para a empresa quanto para seus colaboradores.</w:t>
      </w:r>
    </w:p>
    <w:p w14:paraId="40041B82" w14:textId="5A49A4E3" w:rsidR="00340585" w:rsidRDefault="00340585" w:rsidP="00340585">
      <w:pPr>
        <w:spacing w:after="0" w:line="360" w:lineRule="auto"/>
        <w:jc w:val="both"/>
        <w:rPr>
          <w:rFonts w:ascii="Arial" w:eastAsia="Arial" w:hAnsi="Arial" w:cs="Arial"/>
          <w:bCs/>
          <w:color w:val="000000" w:themeColor="text1"/>
          <w:sz w:val="24"/>
          <w:szCs w:val="24"/>
        </w:rPr>
      </w:pPr>
    </w:p>
    <w:p w14:paraId="0A9546AA" w14:textId="5F3A0C5F" w:rsidR="00340585" w:rsidRDefault="00340585" w:rsidP="00A56079">
      <w:pPr>
        <w:spacing w:after="0" w:line="360" w:lineRule="auto"/>
        <w:jc w:val="both"/>
        <w:rPr>
          <w:rFonts w:ascii="Arial" w:eastAsia="Arial" w:hAnsi="Arial" w:cs="Arial"/>
          <w:b/>
          <w:bCs/>
          <w:color w:val="000000" w:themeColor="text1"/>
          <w:sz w:val="24"/>
          <w:szCs w:val="24"/>
        </w:rPr>
      </w:pPr>
      <w:r w:rsidRPr="00340585">
        <w:rPr>
          <w:rFonts w:ascii="Arial" w:eastAsia="Arial" w:hAnsi="Arial" w:cs="Arial"/>
          <w:b/>
          <w:bCs/>
          <w:color w:val="000000" w:themeColor="text1"/>
          <w:sz w:val="24"/>
          <w:szCs w:val="24"/>
        </w:rPr>
        <w:t>METODOLOGIA</w:t>
      </w:r>
    </w:p>
    <w:p w14:paraId="6593F22D" w14:textId="77777777" w:rsidR="00D70248" w:rsidRPr="00340585" w:rsidRDefault="00D70248" w:rsidP="00A56079">
      <w:pPr>
        <w:spacing w:after="0" w:line="360" w:lineRule="auto"/>
        <w:jc w:val="both"/>
        <w:rPr>
          <w:rFonts w:ascii="Arial" w:eastAsia="Arial" w:hAnsi="Arial" w:cs="Arial"/>
          <w:b/>
          <w:bCs/>
          <w:color w:val="000000" w:themeColor="text1"/>
          <w:sz w:val="24"/>
          <w:szCs w:val="24"/>
        </w:rPr>
      </w:pPr>
    </w:p>
    <w:p w14:paraId="33D91E70" w14:textId="1126EAFF" w:rsidR="00920588" w:rsidRPr="00920588" w:rsidRDefault="00920588" w:rsidP="00920588">
      <w:pPr>
        <w:spacing w:after="0" w:line="360" w:lineRule="auto"/>
        <w:ind w:firstLine="709"/>
        <w:jc w:val="both"/>
        <w:rPr>
          <w:rFonts w:ascii="Arial" w:eastAsia="Arial" w:hAnsi="Arial" w:cs="Arial"/>
          <w:bCs/>
          <w:color w:val="000000" w:themeColor="text1"/>
          <w:sz w:val="24"/>
          <w:szCs w:val="24"/>
        </w:rPr>
      </w:pPr>
      <w:r w:rsidRPr="00920588">
        <w:rPr>
          <w:rFonts w:ascii="Arial" w:eastAsia="Arial" w:hAnsi="Arial" w:cs="Arial"/>
          <w:bCs/>
          <w:color w:val="000000" w:themeColor="text1"/>
          <w:sz w:val="24"/>
          <w:szCs w:val="24"/>
        </w:rPr>
        <w:t xml:space="preserve">Como procedimento metodológico, pautado na pesquisa bibliográfica, foram selecionados 12 artigos científicos disponíveis na plataforma </w:t>
      </w:r>
      <w:r>
        <w:rPr>
          <w:rStyle w:val="Refdenotaderodap"/>
          <w:rFonts w:ascii="Arial" w:eastAsia="Arial" w:hAnsi="Arial" w:cs="Arial"/>
          <w:bCs/>
          <w:color w:val="000000" w:themeColor="text1"/>
          <w:sz w:val="24"/>
          <w:szCs w:val="24"/>
        </w:rPr>
        <w:footnoteReference w:id="2"/>
      </w:r>
      <w:r>
        <w:rPr>
          <w:rFonts w:ascii="Arial" w:eastAsia="Arial" w:hAnsi="Arial" w:cs="Arial"/>
          <w:bCs/>
          <w:color w:val="000000" w:themeColor="text1"/>
          <w:sz w:val="24"/>
          <w:szCs w:val="24"/>
        </w:rPr>
        <w:t>Google Acadêmico</w:t>
      </w:r>
      <w:r w:rsidRPr="00920588">
        <w:rPr>
          <w:rFonts w:ascii="Arial" w:eastAsia="Arial" w:hAnsi="Arial" w:cs="Arial"/>
          <w:bCs/>
          <w:color w:val="000000" w:themeColor="text1"/>
          <w:sz w:val="24"/>
          <w:szCs w:val="24"/>
        </w:rPr>
        <w:t>, acessados a partir das palavras-chave Gestão, Engajamento e Motivação.</w:t>
      </w:r>
    </w:p>
    <w:p w14:paraId="2B718BFA" w14:textId="77777777" w:rsidR="00920588" w:rsidRPr="00920588" w:rsidRDefault="00920588" w:rsidP="00920588">
      <w:pPr>
        <w:spacing w:after="0" w:line="360" w:lineRule="auto"/>
        <w:ind w:firstLine="709"/>
        <w:jc w:val="both"/>
        <w:rPr>
          <w:rFonts w:ascii="Arial" w:eastAsia="Arial" w:hAnsi="Arial" w:cs="Arial"/>
          <w:bCs/>
          <w:color w:val="000000" w:themeColor="text1"/>
          <w:sz w:val="24"/>
          <w:szCs w:val="24"/>
        </w:rPr>
      </w:pPr>
      <w:r w:rsidRPr="00920588">
        <w:rPr>
          <w:rFonts w:ascii="Arial" w:eastAsia="Arial" w:hAnsi="Arial" w:cs="Arial"/>
          <w:bCs/>
          <w:color w:val="000000" w:themeColor="text1"/>
          <w:sz w:val="24"/>
          <w:szCs w:val="24"/>
        </w:rPr>
        <w:t>As obras foram lidas e fichadas, apresentando seus principais pontos em um quadro de análise descritivo-conceitual. A seleção contemplou o período de 2018 a 2025, com o objetivo de delimitar produções mais atualizadas sobre o tema em estudo.</w:t>
      </w:r>
    </w:p>
    <w:p w14:paraId="3E13AEC4" w14:textId="77777777" w:rsidR="00920588" w:rsidRPr="00920588" w:rsidRDefault="00920588" w:rsidP="00920588">
      <w:pPr>
        <w:spacing w:after="0" w:line="360" w:lineRule="auto"/>
        <w:ind w:firstLine="709"/>
        <w:jc w:val="both"/>
        <w:rPr>
          <w:rFonts w:ascii="Arial" w:eastAsia="Arial" w:hAnsi="Arial" w:cs="Arial"/>
          <w:bCs/>
          <w:color w:val="000000" w:themeColor="text1"/>
          <w:sz w:val="24"/>
          <w:szCs w:val="24"/>
        </w:rPr>
      </w:pPr>
      <w:r w:rsidRPr="00920588">
        <w:rPr>
          <w:rFonts w:ascii="Arial" w:eastAsia="Arial" w:hAnsi="Arial" w:cs="Arial"/>
          <w:bCs/>
          <w:color w:val="000000" w:themeColor="text1"/>
          <w:sz w:val="24"/>
          <w:szCs w:val="24"/>
        </w:rPr>
        <w:t>Para garantir a relevância das fontes, foram considerados apenas artigos publicados em revistas científicas, disponíveis nas três primeiras abas de resultados do Google Acadêmico.</w:t>
      </w:r>
    </w:p>
    <w:p w14:paraId="27A03847" w14:textId="41E929B5" w:rsidR="00697405" w:rsidRDefault="00920588" w:rsidP="00920588">
      <w:pPr>
        <w:spacing w:after="0" w:line="360" w:lineRule="auto"/>
        <w:ind w:firstLine="709"/>
        <w:jc w:val="both"/>
        <w:rPr>
          <w:rFonts w:ascii="Arial" w:eastAsia="Arial" w:hAnsi="Arial" w:cs="Arial"/>
          <w:bCs/>
          <w:color w:val="000000" w:themeColor="text1"/>
          <w:sz w:val="24"/>
          <w:szCs w:val="24"/>
        </w:rPr>
      </w:pPr>
      <w:r w:rsidRPr="00920588">
        <w:rPr>
          <w:rFonts w:ascii="Arial" w:eastAsia="Arial" w:hAnsi="Arial" w:cs="Arial"/>
          <w:bCs/>
          <w:color w:val="000000" w:themeColor="text1"/>
          <w:sz w:val="24"/>
          <w:szCs w:val="24"/>
        </w:rPr>
        <w:t>A escolha pela pesquisa bibliográfica justifica-se pela possibilidade de compreender, de forma aprofundada, como as práticas de gestão influenciam o engajamento e a motivação dos colaboradores. Por meio da análise de estudos recentes e relevantes, busca-se identificar as estratégias que se mostram mais eficazes no contexto corporativo contemporâneo. Essa metodologia permite reunir informações confiáveis, comparar diferentes perspectivas e construir uma base teórica sólida que apoie reflexões e aplicações práticas no campo da gestão de pessoas.</w:t>
      </w:r>
    </w:p>
    <w:p w14:paraId="28F1DB39" w14:textId="77777777" w:rsidR="00920588" w:rsidRPr="00697405" w:rsidRDefault="00920588" w:rsidP="009B76B5">
      <w:pPr>
        <w:spacing w:after="0" w:line="360" w:lineRule="auto"/>
        <w:ind w:firstLine="709"/>
        <w:jc w:val="both"/>
        <w:rPr>
          <w:rFonts w:ascii="Arial" w:eastAsia="Arial" w:hAnsi="Arial" w:cs="Arial"/>
          <w:bCs/>
          <w:color w:val="000000" w:themeColor="text1"/>
          <w:sz w:val="24"/>
          <w:szCs w:val="24"/>
        </w:rPr>
      </w:pPr>
    </w:p>
    <w:p w14:paraId="796AB7C8" w14:textId="0E197EA7" w:rsidR="00803098" w:rsidRPr="009B76B5" w:rsidRDefault="00E16F18" w:rsidP="009B76B5">
      <w:pPr>
        <w:spacing w:after="0" w:line="360" w:lineRule="auto"/>
        <w:jc w:val="both"/>
        <w:rPr>
          <w:rFonts w:ascii="Arial" w:eastAsia="Arial" w:hAnsi="Arial" w:cs="Arial"/>
          <w:b/>
          <w:color w:val="000000" w:themeColor="text1"/>
          <w:sz w:val="24"/>
          <w:szCs w:val="24"/>
        </w:rPr>
      </w:pPr>
      <w:r w:rsidRPr="009B76B5">
        <w:rPr>
          <w:rFonts w:ascii="Arial" w:eastAsia="Arial" w:hAnsi="Arial" w:cs="Arial"/>
          <w:b/>
          <w:color w:val="000000" w:themeColor="text1"/>
          <w:sz w:val="24"/>
          <w:szCs w:val="24"/>
        </w:rPr>
        <w:t>ANÁLISE E DISCUSSÃO</w:t>
      </w:r>
    </w:p>
    <w:p w14:paraId="378E0945" w14:textId="77777777" w:rsidR="008F0DC1" w:rsidRPr="008F0DC1" w:rsidRDefault="008F0DC1" w:rsidP="009B76B5">
      <w:pPr>
        <w:spacing w:after="0" w:line="360" w:lineRule="auto"/>
        <w:ind w:firstLine="709"/>
        <w:jc w:val="both"/>
        <w:rPr>
          <w:rFonts w:ascii="Arial" w:eastAsia="Arial" w:hAnsi="Arial" w:cs="Arial"/>
          <w:bCs/>
          <w:color w:val="000000" w:themeColor="text1"/>
          <w:sz w:val="24"/>
          <w:szCs w:val="24"/>
        </w:rPr>
      </w:pPr>
    </w:p>
    <w:p w14:paraId="6514EEAC" w14:textId="1921B20D" w:rsidR="00E16F18" w:rsidRPr="009B76B5" w:rsidRDefault="00E16F18" w:rsidP="009B76B5">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 xml:space="preserve">A motivação e o engajamento dos funcionários têm se mostrado elementos centrais para o sucesso das organizações, sendo amplamente discutidos como uma importante ferramenta que leva ao sucesso da organização. Diversos estudos reforçam que o desempenho individual e coletivo está diretamente relacionado à </w:t>
      </w:r>
      <w:r w:rsidRPr="008A163D">
        <w:rPr>
          <w:rFonts w:ascii="Arial" w:eastAsia="Arial" w:hAnsi="Arial" w:cs="Arial"/>
          <w:bCs/>
          <w:color w:val="000000" w:themeColor="text1"/>
          <w:sz w:val="24"/>
          <w:szCs w:val="24"/>
        </w:rPr>
        <w:lastRenderedPageBreak/>
        <w:t>forma como os gestores estruturam práticas de liderança, comunicação e reconhecimento, além de promoverem um ambiente de trabalho emocionalmente saudável e estimulante. Conforme Mota, Penha e Gonçalves (2023), a motivação é um fator determinante para o engajamento dos colaboradores, uma vez que indivíduos motivados tendem a apresentar maior comprometimento com os objetivos organizacionais e maior persistência diante de desafios. Os autores evidenciam, a partir de uma revisão sistemática, que o engajamento está associado tanto a aspectos intrínsecos</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como propósito e sentido no trabalho</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quanto a fatores extrínsecos, como reconhecimento e recompensas.</w:t>
      </w:r>
    </w:p>
    <w:p w14:paraId="6F151CD7" w14:textId="77777777" w:rsidR="00E16F18" w:rsidRDefault="00E16F18" w:rsidP="003F6C00">
      <w:pPr>
        <w:spacing w:after="0" w:line="360" w:lineRule="auto"/>
        <w:ind w:firstLine="709"/>
        <w:jc w:val="both"/>
        <w:rPr>
          <w:rFonts w:ascii="Arial" w:eastAsia="Arial" w:hAnsi="Arial" w:cs="Arial"/>
          <w:bCs/>
          <w:color w:val="000000" w:themeColor="text1"/>
          <w:sz w:val="24"/>
          <w:szCs w:val="24"/>
        </w:rPr>
      </w:pPr>
      <w:r w:rsidRPr="00C5126D">
        <w:rPr>
          <w:rFonts w:ascii="Arial" w:eastAsia="Arial" w:hAnsi="Arial" w:cs="Arial"/>
          <w:bCs/>
          <w:color w:val="000000" w:themeColor="text1"/>
          <w:sz w:val="24"/>
          <w:szCs w:val="24"/>
        </w:rPr>
        <w:t xml:space="preserve">Nesse contexto, a inteligência emocional surge como uma competência-chave para o fortalecimento do engajamento. Estudos empíricos realizados com gestores e equipes demonstram que colaboradores com altos níveis de autoconsciência, empatia e controle emocional apresentam melhor capacidade de lidar com pressões, além de desenvolver relacionamentos mais saudáveis e produtivos no ambiente corporativo (Hansen </w:t>
      </w:r>
      <w:r w:rsidRPr="009B76B5">
        <w:rPr>
          <w:rFonts w:ascii="Arial" w:eastAsia="Arial" w:hAnsi="Arial" w:cs="Arial"/>
          <w:bCs/>
          <w:color w:val="000000" w:themeColor="text1"/>
          <w:sz w:val="24"/>
          <w:szCs w:val="24"/>
        </w:rPr>
        <w:t>et al</w:t>
      </w:r>
      <w:r w:rsidRPr="00C5126D">
        <w:rPr>
          <w:rFonts w:ascii="Arial" w:eastAsia="Arial" w:hAnsi="Arial" w:cs="Arial"/>
          <w:bCs/>
          <w:color w:val="000000" w:themeColor="text1"/>
          <w:sz w:val="24"/>
          <w:szCs w:val="24"/>
        </w:rPr>
        <w:t xml:space="preserve">., 2020). Segundo os autores, gestores emocionalmente inteligentes conseguem inspirar suas equipes e reduzir os efeitos negativos do estresse e do conflito, fortalecendo o sentimento de pertencimento e a motivação intrínseca. Nesse sentido, o estudo realizado com trabalhadores gaúchos confirma que o domínio das competências emocionais está positivamente relacionado à satisfação e à dedicação no desempenho das funções (Hansen </w:t>
      </w:r>
      <w:r w:rsidRPr="009B76B5">
        <w:rPr>
          <w:rFonts w:ascii="Arial" w:eastAsia="Arial" w:hAnsi="Arial" w:cs="Arial"/>
          <w:bCs/>
          <w:color w:val="000000" w:themeColor="text1"/>
          <w:sz w:val="24"/>
          <w:szCs w:val="24"/>
        </w:rPr>
        <w:t>et al</w:t>
      </w:r>
      <w:r w:rsidRPr="00C5126D">
        <w:rPr>
          <w:rFonts w:ascii="Arial" w:eastAsia="Arial" w:hAnsi="Arial" w:cs="Arial"/>
          <w:bCs/>
          <w:color w:val="000000" w:themeColor="text1"/>
          <w:sz w:val="24"/>
          <w:szCs w:val="24"/>
        </w:rPr>
        <w:t>., 2021).</w:t>
      </w:r>
    </w:p>
    <w:p w14:paraId="18005493" w14:textId="77777777" w:rsidR="00E16F18" w:rsidRDefault="00E16F18" w:rsidP="003F6C00">
      <w:pPr>
        <w:spacing w:after="0" w:line="360" w:lineRule="auto"/>
        <w:ind w:firstLine="709"/>
        <w:jc w:val="both"/>
        <w:rPr>
          <w:rFonts w:ascii="Arial" w:eastAsia="Arial" w:hAnsi="Arial" w:cs="Arial"/>
          <w:bCs/>
          <w:color w:val="000000" w:themeColor="text1"/>
          <w:sz w:val="24"/>
          <w:szCs w:val="24"/>
        </w:rPr>
      </w:pPr>
      <w:r>
        <w:rPr>
          <w:rFonts w:ascii="Arial" w:eastAsia="Arial" w:hAnsi="Arial" w:cs="Arial"/>
          <w:bCs/>
          <w:color w:val="000000" w:themeColor="text1"/>
          <w:sz w:val="24"/>
          <w:szCs w:val="24"/>
        </w:rPr>
        <w:t xml:space="preserve">Nota-se que os estudos </w:t>
      </w:r>
      <w:r w:rsidRPr="0025111D">
        <w:rPr>
          <w:rFonts w:ascii="Arial" w:eastAsia="Arial" w:hAnsi="Arial" w:cs="Arial"/>
          <w:bCs/>
          <w:color w:val="000000" w:themeColor="text1"/>
          <w:sz w:val="24"/>
          <w:szCs w:val="24"/>
        </w:rPr>
        <w:t>indicam que fatores emocionais e psicológicos, tanto no topo quanto na base da hierarquia da organização, são tão determinantes quanto seus fatores estruturais</w:t>
      </w:r>
      <w:r>
        <w:rPr>
          <w:rFonts w:ascii="Arial" w:eastAsia="Arial" w:hAnsi="Arial" w:cs="Arial"/>
          <w:bCs/>
          <w:color w:val="000000" w:themeColor="text1"/>
          <w:sz w:val="24"/>
          <w:szCs w:val="24"/>
        </w:rPr>
        <w:t xml:space="preserve">. </w:t>
      </w:r>
      <w:r w:rsidRPr="0025111D">
        <w:rPr>
          <w:rFonts w:ascii="Arial" w:eastAsia="Arial" w:hAnsi="Arial" w:cs="Arial"/>
          <w:bCs/>
          <w:color w:val="000000" w:themeColor="text1"/>
          <w:sz w:val="24"/>
          <w:szCs w:val="24"/>
        </w:rPr>
        <w:t>A inteligência emocional, por exemplo, funciona como um mediador importante entre as práticas de liderança e o engajamento, pois colaboradores emocionalmente estáveis tendem a interpretar demandas e pressões de forma menos ameaçadora. Isso reforça a ideia de que estratégias de motivação não devem se limitar apenas a incentivos materiais, mas devem envolver também o desenvolvimento de competências socioemocionais.</w:t>
      </w:r>
    </w:p>
    <w:p w14:paraId="5FB9579A" w14:textId="77777777" w:rsidR="00E16F18" w:rsidRDefault="00E16F18" w:rsidP="003F6C00">
      <w:pPr>
        <w:spacing w:after="0" w:line="360" w:lineRule="auto"/>
        <w:ind w:firstLine="709"/>
        <w:jc w:val="both"/>
        <w:rPr>
          <w:rFonts w:ascii="Arial" w:eastAsia="Arial" w:hAnsi="Arial" w:cs="Arial"/>
          <w:bCs/>
          <w:color w:val="000000" w:themeColor="text1"/>
          <w:sz w:val="24"/>
          <w:szCs w:val="24"/>
        </w:rPr>
      </w:pPr>
      <w:r>
        <w:rPr>
          <w:rFonts w:ascii="Arial" w:eastAsia="Arial" w:hAnsi="Arial" w:cs="Arial"/>
          <w:bCs/>
          <w:color w:val="000000" w:themeColor="text1"/>
          <w:sz w:val="24"/>
          <w:szCs w:val="24"/>
        </w:rPr>
        <w:t>Para tanto, a</w:t>
      </w:r>
      <w:r w:rsidRPr="008A163D">
        <w:rPr>
          <w:rFonts w:ascii="Arial" w:eastAsia="Arial" w:hAnsi="Arial" w:cs="Arial"/>
          <w:bCs/>
          <w:color w:val="000000" w:themeColor="text1"/>
          <w:sz w:val="24"/>
          <w:szCs w:val="24"/>
        </w:rPr>
        <w:t xml:space="preserve"> liderança é </w:t>
      </w:r>
      <w:r>
        <w:rPr>
          <w:rFonts w:ascii="Arial" w:eastAsia="Arial" w:hAnsi="Arial" w:cs="Arial"/>
          <w:bCs/>
          <w:color w:val="000000" w:themeColor="text1"/>
          <w:sz w:val="24"/>
          <w:szCs w:val="24"/>
        </w:rPr>
        <w:t>um</w:t>
      </w:r>
      <w:r w:rsidRPr="008A163D">
        <w:rPr>
          <w:rFonts w:ascii="Arial" w:eastAsia="Arial" w:hAnsi="Arial" w:cs="Arial"/>
          <w:bCs/>
          <w:color w:val="000000" w:themeColor="text1"/>
          <w:sz w:val="24"/>
          <w:szCs w:val="24"/>
        </w:rPr>
        <w:t xml:space="preserve"> fator decisivo no processo de engajamento. De acordo com o artigo “Um pessimista convicto na minha equipe: estilos de liderança e motivação” (Bell </w:t>
      </w:r>
      <w:proofErr w:type="spellStart"/>
      <w:r w:rsidRPr="008A163D">
        <w:rPr>
          <w:rFonts w:ascii="Arial" w:eastAsia="Arial" w:hAnsi="Arial" w:cs="Arial"/>
          <w:bCs/>
          <w:color w:val="000000" w:themeColor="text1"/>
          <w:sz w:val="24"/>
          <w:szCs w:val="24"/>
        </w:rPr>
        <w:t>Unochapecó</w:t>
      </w:r>
      <w:proofErr w:type="spellEnd"/>
      <w:r w:rsidRPr="008A163D">
        <w:rPr>
          <w:rFonts w:ascii="Arial" w:eastAsia="Arial" w:hAnsi="Arial" w:cs="Arial"/>
          <w:bCs/>
          <w:color w:val="000000" w:themeColor="text1"/>
          <w:sz w:val="24"/>
          <w:szCs w:val="24"/>
        </w:rPr>
        <w:t xml:space="preserve">, 2021), o estilo de liderança transformacional se destaca por promover inspiração, reconhecimento e autonomia, fatores que estimulam a motivação e o comprometimento dos colaboradores. Líderes que adotam uma postura aberta ao diálogo, que compartilham a visão da empresa e reconhecem os esforços </w:t>
      </w:r>
      <w:r w:rsidRPr="008A163D">
        <w:rPr>
          <w:rFonts w:ascii="Arial" w:eastAsia="Arial" w:hAnsi="Arial" w:cs="Arial"/>
          <w:bCs/>
          <w:color w:val="000000" w:themeColor="text1"/>
          <w:sz w:val="24"/>
          <w:szCs w:val="24"/>
        </w:rPr>
        <w:lastRenderedPageBreak/>
        <w:t>individuais e coletivos, criam um clima organizacional mais positivo. Em contrapartida, estilos autoritários e a ausência de feedback geram distanciamento emocional e redução do engajamento. Assim, a liderança transformacional se mostra uma estratégia essencial para alinhar os objetivos individuais e organizacionais.</w:t>
      </w:r>
    </w:p>
    <w:p w14:paraId="6462A4BB" w14:textId="77777777" w:rsidR="00E16F18"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25111D">
        <w:rPr>
          <w:rFonts w:ascii="Arial" w:eastAsia="Arial" w:hAnsi="Arial" w:cs="Arial"/>
          <w:bCs/>
          <w:color w:val="000000" w:themeColor="text1"/>
          <w:sz w:val="24"/>
          <w:szCs w:val="24"/>
        </w:rPr>
        <w:t>Observa-se que o papel da liderança transformacional se articula diretamente com os demais fatores analisados. Os líderes que inspiram e reconhecem suas equipes tendem a fortalecer o propósito e a autonomia, dois elementos centrais da motivação intrínseca e amplamente discutidos nos principais modelos de gestão engajadora. Assim, práticas de liderança eficazes não apenas promovem engajamento imediato, mas também ampliam os recursos motivacionais que sustentam o desempenho da equipe como um todo diariamente e a longo prazo.</w:t>
      </w:r>
    </w:p>
    <w:p w14:paraId="37568874" w14:textId="77777777" w:rsidR="00E16F18"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Entre as práticas inovadoras de gestão voltadas à motivação, a gamificação vem ganhando destaque. Ribeiro, Montenegro e Neto (2019) destacam que a introdução de elementos lúdicos no ambiente de trabalho</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como sistemas de pontuação, desafios, recompensas e rankings</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pode aumentar a motivação e o envolvimento dos funcionários, especialmente em equipes de projetos e em setores de tecnologia. A aplicação de jogos sérios e dinâmicas de competição saudável promove um senso de progresso e pertencimento, estimulando o engajamento tanto extrínseco quanto intrínseco. No entanto, os autores alertam que a gamificação deve estar alinhada aos objetivos estratégicos da organização e às necessidades reais dos colaboradores, evitando que se torne apenas uma ferramenta de controle ou estímulo superficial.</w:t>
      </w:r>
    </w:p>
    <w:p w14:paraId="0DBDA0E9" w14:textId="12E79C54" w:rsidR="00E16F18" w:rsidRDefault="00E16F18" w:rsidP="003F6C00">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 xml:space="preserve">Em um estudo complementar, a pesquisa intitulada “Gamificação e gestão de pessoas: um estudo de caso sobre treinamento e ambiente de diversidade cultural” aponta que a gamificação é mais eficaz quando integrada a programas de treinamento e desenvolvimento contínuo. Quando associada à diversidade e inclusão, a prática favorece o aprendizado coletivo e o respeito às diferenças, ampliando a coesão das equipes e fortalecendo o clima organizacional. Da mesma forma, a pesquisa “Gamificação como ferramenta de motivação nas organizações” </w:t>
      </w:r>
      <w:r w:rsidR="00BA22EC" w:rsidRPr="00BA22EC">
        <w:rPr>
          <w:rFonts w:ascii="Arial" w:eastAsia="Arial" w:hAnsi="Arial" w:cs="Arial"/>
          <w:bCs/>
          <w:color w:val="000000" w:themeColor="text1"/>
          <w:sz w:val="24"/>
          <w:szCs w:val="24"/>
        </w:rPr>
        <w:t>(Martins, 2022)</w:t>
      </w:r>
      <w:r w:rsidRPr="008A163D">
        <w:rPr>
          <w:rFonts w:ascii="Arial" w:eastAsia="Arial" w:hAnsi="Arial" w:cs="Arial"/>
          <w:bCs/>
          <w:color w:val="000000" w:themeColor="text1"/>
          <w:sz w:val="24"/>
          <w:szCs w:val="24"/>
        </w:rPr>
        <w:t xml:space="preserve"> demonstra que colaboradores expostos a ambientes gamificados relatam maior satisfação e disposição para colaborar, desde que as metas e recompensas sejam percebidas como justas e transparentes.</w:t>
      </w:r>
    </w:p>
    <w:p w14:paraId="3ED2CB28" w14:textId="77777777" w:rsidR="00E16F18"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25111D">
        <w:rPr>
          <w:rFonts w:ascii="Arial" w:eastAsia="Arial" w:hAnsi="Arial" w:cs="Arial"/>
          <w:bCs/>
          <w:color w:val="000000" w:themeColor="text1"/>
          <w:sz w:val="24"/>
          <w:szCs w:val="24"/>
        </w:rPr>
        <w:t xml:space="preserve">Ainda que a gamificação atue principalmente sobre estímulos extrínsecos, os estudos mostram que, quando aplicada de forma estratégica e transparente, ela </w:t>
      </w:r>
      <w:r w:rsidRPr="0025111D">
        <w:rPr>
          <w:rFonts w:ascii="Arial" w:eastAsia="Arial" w:hAnsi="Arial" w:cs="Arial"/>
          <w:bCs/>
          <w:color w:val="000000" w:themeColor="text1"/>
          <w:sz w:val="24"/>
          <w:szCs w:val="24"/>
        </w:rPr>
        <w:lastRenderedPageBreak/>
        <w:t>também pode despertar motivação intrínseca, especialmente ao promover desafios progressivos e senso de competência, aspectos alinhados à Teoria da Autodeterminação. Isso revela que a gamificação não deve ser entendida apenas como uma técnica de recompensa, mas como um meio de fomentar engajamento profundo quando integrada à cultura organizacional.</w:t>
      </w:r>
    </w:p>
    <w:p w14:paraId="37C8A66F" w14:textId="7C309783" w:rsidR="00E16F18" w:rsidRDefault="00E16F18" w:rsidP="003F6C00">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 xml:space="preserve">Além das estratégias de gamificação, o endomarketing aparece como um importante instrumento para o fortalecimento do engajamento. Segundo o estudo “Endomarketing como missão no engajamento” </w:t>
      </w:r>
      <w:r w:rsidR="00E50067" w:rsidRPr="00E50067">
        <w:rPr>
          <w:rFonts w:ascii="Arial" w:eastAsia="Arial" w:hAnsi="Arial" w:cs="Arial"/>
          <w:bCs/>
          <w:color w:val="000000" w:themeColor="text1"/>
          <w:sz w:val="24"/>
          <w:szCs w:val="24"/>
        </w:rPr>
        <w:t>(Lima, 2023)</w:t>
      </w:r>
      <w:r w:rsidRPr="008A163D">
        <w:rPr>
          <w:rFonts w:ascii="Arial" w:eastAsia="Arial" w:hAnsi="Arial" w:cs="Arial"/>
          <w:bCs/>
          <w:color w:val="000000" w:themeColor="text1"/>
          <w:sz w:val="24"/>
          <w:szCs w:val="24"/>
        </w:rPr>
        <w:t>, ações de comunicação interna que reforçam valores organizacionais, missão e propósito têm papel fundamental na criação de vínculos entre empresa e colaborador. Campanhas de reconhecimento, divulgação de conquistas coletivas e incentivo à participação em decisões estratégicas são mecanismos que aumentam a percepção de pertencimento e reduzem a rotatividade. O endomarketing, quando aliado a práticas de valorização pessoal, também contribui para o fortalecimento da identidade organizacional e da confiança mútua entre líderes e liderados.</w:t>
      </w:r>
    </w:p>
    <w:p w14:paraId="27A5AF31" w14:textId="77777777" w:rsidR="00E16F18"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25111D">
        <w:rPr>
          <w:rFonts w:ascii="Arial" w:eastAsia="Arial" w:hAnsi="Arial" w:cs="Arial"/>
          <w:bCs/>
          <w:color w:val="000000" w:themeColor="text1"/>
          <w:sz w:val="24"/>
          <w:szCs w:val="24"/>
        </w:rPr>
        <w:t>Contudo, as práticas de endomarketing reforçam a construção do pertencimento, elemento amplamente associado ao engajamento afetivo. Ao comunicar visão, conquistas e valores, a organização reduz a assimetria de informações e reforça a confiança interna, condições indispensáveis para o desenvolvimento do engajamento sustentável e coerentes com o conceito de segurança psicológica evidenciado na literatura recente.</w:t>
      </w:r>
    </w:p>
    <w:p w14:paraId="1A3EAD7D" w14:textId="6D312B80" w:rsidR="00E16F18"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 xml:space="preserve">Complementarmente, estudos sobre gestão humana e bem-estar, como “Gestão humana para organizações saudáveis” </w:t>
      </w:r>
      <w:r w:rsidR="00A05A75" w:rsidRPr="00A05A75">
        <w:rPr>
          <w:rFonts w:ascii="Arial" w:eastAsia="Arial" w:hAnsi="Arial" w:cs="Arial"/>
          <w:bCs/>
          <w:color w:val="000000" w:themeColor="text1"/>
          <w:sz w:val="24"/>
          <w:szCs w:val="24"/>
        </w:rPr>
        <w:t>(Silva; Costa, 2022)</w:t>
      </w:r>
      <w:r w:rsidRPr="008A163D">
        <w:rPr>
          <w:rFonts w:ascii="Arial" w:eastAsia="Arial" w:hAnsi="Arial" w:cs="Arial"/>
          <w:bCs/>
          <w:color w:val="000000" w:themeColor="text1"/>
          <w:sz w:val="24"/>
          <w:szCs w:val="24"/>
        </w:rPr>
        <w:t>, enfatizam que o engajamento sustentável depende da criação de ambientes psicologicamente seguros e equilibrados. A oferta de programas de qualidade de vida, saúde mental, flexibilidade de horários e oportunidades de crescimento pessoal e profissional são condições essenciais para a manutenção da motivação e do engajamento a longo prazo. As práticas de gestão que priorizam o equilíbrio entre demandas e recursos</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conforme o modelo </w:t>
      </w:r>
      <w:proofErr w:type="spellStart"/>
      <w:r w:rsidRPr="008A163D">
        <w:rPr>
          <w:rFonts w:ascii="Arial" w:eastAsia="Arial" w:hAnsi="Arial" w:cs="Arial"/>
          <w:bCs/>
          <w:color w:val="000000" w:themeColor="text1"/>
          <w:sz w:val="24"/>
          <w:szCs w:val="24"/>
        </w:rPr>
        <w:t>Job</w:t>
      </w:r>
      <w:proofErr w:type="spellEnd"/>
      <w:r w:rsidRPr="008A163D">
        <w:rPr>
          <w:rFonts w:ascii="Arial" w:eastAsia="Arial" w:hAnsi="Arial" w:cs="Arial"/>
          <w:bCs/>
          <w:color w:val="000000" w:themeColor="text1"/>
          <w:sz w:val="24"/>
          <w:szCs w:val="24"/>
        </w:rPr>
        <w:t xml:space="preserve"> </w:t>
      </w:r>
      <w:proofErr w:type="spellStart"/>
      <w:r w:rsidRPr="008A163D">
        <w:rPr>
          <w:rFonts w:ascii="Arial" w:eastAsia="Arial" w:hAnsi="Arial" w:cs="Arial"/>
          <w:bCs/>
          <w:color w:val="000000" w:themeColor="text1"/>
          <w:sz w:val="24"/>
          <w:szCs w:val="24"/>
        </w:rPr>
        <w:t>Demands-Resources</w:t>
      </w:r>
      <w:proofErr w:type="spellEnd"/>
      <w:r w:rsidRPr="008A163D">
        <w:rPr>
          <w:rFonts w:ascii="Arial" w:eastAsia="Arial" w:hAnsi="Arial" w:cs="Arial"/>
          <w:bCs/>
          <w:color w:val="000000" w:themeColor="text1"/>
          <w:sz w:val="24"/>
          <w:szCs w:val="24"/>
        </w:rPr>
        <w:t xml:space="preserve"> (JD-R)</w:t>
      </w:r>
      <w:r>
        <w:rPr>
          <w:rFonts w:ascii="Arial" w:eastAsia="Arial" w:hAnsi="Arial" w:cs="Arial"/>
          <w:bCs/>
          <w:color w:val="000000" w:themeColor="text1"/>
          <w:sz w:val="24"/>
          <w:szCs w:val="24"/>
        </w:rPr>
        <w:t>,</w:t>
      </w:r>
      <w:r w:rsidRPr="008A163D">
        <w:rPr>
          <w:rFonts w:ascii="Arial" w:eastAsia="Arial" w:hAnsi="Arial" w:cs="Arial"/>
          <w:bCs/>
          <w:color w:val="000000" w:themeColor="text1"/>
          <w:sz w:val="24"/>
          <w:szCs w:val="24"/>
        </w:rPr>
        <w:t xml:space="preserve"> têm se mostrado mais eficazes em promover satisfação e comprometimento.</w:t>
      </w:r>
    </w:p>
    <w:p w14:paraId="4C183876" w14:textId="77777777" w:rsidR="003E78A1" w:rsidRPr="008A163D" w:rsidRDefault="003E78A1" w:rsidP="003E78A1">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 xml:space="preserve">A motivação também se relaciona com o desenvolvimento de carreira e as práticas de gestão de talentos. O artigo “Motivação como fator de sucesso para a gestão de carreira” </w:t>
      </w:r>
      <w:r w:rsidRPr="003E78A1">
        <w:rPr>
          <w:rFonts w:ascii="Arial" w:eastAsia="Arial" w:hAnsi="Arial" w:cs="Arial"/>
          <w:bCs/>
          <w:color w:val="000000" w:themeColor="text1"/>
          <w:sz w:val="24"/>
          <w:szCs w:val="24"/>
        </w:rPr>
        <w:t>(Costa; Moura, 2018)</w:t>
      </w:r>
      <w:r w:rsidRPr="008A163D">
        <w:rPr>
          <w:rFonts w:ascii="Arial" w:eastAsia="Arial" w:hAnsi="Arial" w:cs="Arial"/>
          <w:bCs/>
          <w:color w:val="000000" w:themeColor="text1"/>
          <w:sz w:val="24"/>
          <w:szCs w:val="24"/>
        </w:rPr>
        <w:t xml:space="preserve"> demonstra que colaboradores que percebem oportunidades de crescimento e reconhecimento tendem a apresentar níveis mais </w:t>
      </w:r>
      <w:r w:rsidRPr="008A163D">
        <w:rPr>
          <w:rFonts w:ascii="Arial" w:eastAsia="Arial" w:hAnsi="Arial" w:cs="Arial"/>
          <w:bCs/>
          <w:color w:val="000000" w:themeColor="text1"/>
          <w:sz w:val="24"/>
          <w:szCs w:val="24"/>
        </w:rPr>
        <w:lastRenderedPageBreak/>
        <w:t>altos de engajamento e desempenho. O papel do administrador, nesse sentido, é atuar como facilitador do desenvolvimento profissional, criando trajetórias de carreira que conciliem objetivos individuais e organizacionais. Essa abordagem fortalece o vínculo afetivo e reduz o turnover, além de potencializar o sentimento de autorrealização.</w:t>
      </w:r>
    </w:p>
    <w:p w14:paraId="17A8356D" w14:textId="77777777" w:rsidR="00E16F18" w:rsidRPr="009B788B" w:rsidRDefault="00E16F18" w:rsidP="003F6C00">
      <w:pPr>
        <w:spacing w:after="0" w:line="360" w:lineRule="auto"/>
        <w:ind w:firstLine="709"/>
        <w:jc w:val="both"/>
        <w:rPr>
          <w:rFonts w:ascii="Arial" w:eastAsia="Arial" w:hAnsi="Arial" w:cs="Arial"/>
          <w:bCs/>
          <w:color w:val="000000" w:themeColor="text1"/>
          <w:sz w:val="24"/>
          <w:szCs w:val="24"/>
        </w:rPr>
      </w:pPr>
      <w:r w:rsidRPr="008A163D">
        <w:rPr>
          <w:rFonts w:ascii="Arial" w:eastAsia="Arial" w:hAnsi="Arial" w:cs="Arial"/>
          <w:bCs/>
          <w:color w:val="000000" w:themeColor="text1"/>
          <w:sz w:val="24"/>
          <w:szCs w:val="24"/>
        </w:rPr>
        <w:t>De modo geral, a literatura analisada revela que o engajamento dos funcionários é resultado da interação entre variáveis pessoais, relacionais e organizacionais. A presença de líderes inspiradores, práticas de comunicação transparente, estratégias de reconhecimento e oportunidades de desenvolvimento compõem o alicerce de um ambiente de trabalho engajador. Como defendem Mota, Penha e Gonçalves (2023), o desempenho coletivo não depende apenas de metas e incentivos, mas da construção de um contexto organizacional que valorize as pessoas e estimule o sentido do trabalho. Assim, promover engajamento significa investir em práticas de gestão que combinem inteligência emocional, liderança transformacional, gamificação, endomarketing e políticas de bem-estar, garantindo, ao mesmo tempo, produtividade e satisfação no ambiente corporativo.</w:t>
      </w:r>
    </w:p>
    <w:p w14:paraId="65A71C7A" w14:textId="290C83EB" w:rsidR="005F21C3" w:rsidRPr="008A163D" w:rsidRDefault="00E16F18" w:rsidP="003F6C00">
      <w:pPr>
        <w:spacing w:after="0" w:line="360" w:lineRule="auto"/>
        <w:ind w:firstLine="709"/>
        <w:jc w:val="both"/>
        <w:rPr>
          <w:rFonts w:ascii="Arial" w:eastAsia="Arial" w:hAnsi="Arial" w:cs="Arial"/>
          <w:bCs/>
          <w:color w:val="000000" w:themeColor="text1"/>
          <w:sz w:val="24"/>
          <w:szCs w:val="24"/>
        </w:rPr>
      </w:pPr>
      <w:r w:rsidRPr="0025111D">
        <w:rPr>
          <w:rFonts w:ascii="Arial" w:eastAsia="Arial" w:hAnsi="Arial" w:cs="Arial"/>
          <w:bCs/>
          <w:color w:val="000000" w:themeColor="text1"/>
          <w:sz w:val="24"/>
          <w:szCs w:val="24"/>
        </w:rPr>
        <w:t>Assim, a análise integrada da literatura permite concluir que o engajamento não é resultado de uma prática isolada, mas de um ecossistema organizacional que articula liderança, comunicação, reconhecimento, equilíbrio emocional e oportunidades de desenvolvimento. As evidências sugerem que quanto maior a capacidade da organização de alinhar seus processos humanos a esses elementos, maior tende a ser seu desempenho coletivo e sua capacidade de retenção de talentos.</w:t>
      </w:r>
    </w:p>
    <w:p w14:paraId="417DFB5B" w14:textId="77777777" w:rsidR="008A163D" w:rsidRPr="008A163D" w:rsidRDefault="008A163D" w:rsidP="008A163D">
      <w:pPr>
        <w:spacing w:after="0" w:line="360" w:lineRule="auto"/>
        <w:ind w:firstLine="709"/>
        <w:jc w:val="both"/>
        <w:rPr>
          <w:rFonts w:ascii="Arial" w:eastAsia="Arial" w:hAnsi="Arial" w:cs="Arial"/>
          <w:bCs/>
          <w:color w:val="000000" w:themeColor="text1"/>
          <w:sz w:val="24"/>
          <w:szCs w:val="24"/>
        </w:rPr>
      </w:pPr>
    </w:p>
    <w:p w14:paraId="302AB2C1" w14:textId="101FA6CC" w:rsidR="008674BF" w:rsidRPr="008F0DC1" w:rsidRDefault="008674BF" w:rsidP="008F0DC1">
      <w:pPr>
        <w:spacing w:after="0" w:line="360" w:lineRule="auto"/>
        <w:jc w:val="both"/>
        <w:rPr>
          <w:rFonts w:ascii="Arial" w:eastAsia="Arial" w:hAnsi="Arial" w:cs="Arial"/>
          <w:b/>
          <w:color w:val="000000" w:themeColor="text1"/>
          <w:sz w:val="24"/>
          <w:szCs w:val="24"/>
        </w:rPr>
      </w:pPr>
      <w:bookmarkStart w:id="4" w:name="_Hlk211444148"/>
      <w:r w:rsidRPr="008F0DC1">
        <w:rPr>
          <w:rFonts w:ascii="Arial" w:eastAsia="Arial" w:hAnsi="Arial" w:cs="Arial"/>
          <w:b/>
          <w:color w:val="000000" w:themeColor="text1"/>
          <w:sz w:val="24"/>
          <w:szCs w:val="24"/>
        </w:rPr>
        <w:t xml:space="preserve">CONSIDERAÇÕES FINAIS </w:t>
      </w:r>
    </w:p>
    <w:p w14:paraId="0AC36C35" w14:textId="77777777" w:rsidR="00C11B67" w:rsidRPr="008F0DC1" w:rsidRDefault="00C11B67" w:rsidP="008F0DC1">
      <w:pPr>
        <w:spacing w:after="0" w:line="360" w:lineRule="auto"/>
        <w:ind w:firstLine="709"/>
        <w:jc w:val="both"/>
        <w:rPr>
          <w:rFonts w:ascii="Arial" w:eastAsia="Arial" w:hAnsi="Arial" w:cs="Arial"/>
          <w:bCs/>
          <w:color w:val="000000" w:themeColor="text1"/>
          <w:sz w:val="24"/>
          <w:szCs w:val="24"/>
        </w:rPr>
      </w:pPr>
    </w:p>
    <w:bookmarkEnd w:id="4"/>
    <w:p w14:paraId="1304262F" w14:textId="5E51F6B2"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O presente estudo teve como propósito analisar como práticas de gestão podem promover o engajamento dos colaboradores no ambiente corporativo, a partir da identificação de estratégias que fortalecem a motivação, o desempenho e o envolvimento das equipes. Para isso, buscou-se compreender, de forma integrada, o papel da liderança, da inteligência emocional, da comunicação interna, da cultura organizacional, das ações de reconhecimento, da gamificação e das práticas de bem-estar na construção de ambientes de trabalho mais engajadores.</w:t>
      </w:r>
    </w:p>
    <w:p w14:paraId="3864684D" w14:textId="288B9D89"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 xml:space="preserve">Os objetivos específicos permitiram orientar a análise teórica e destacar os principais elementos que influenciam o engajamento. A investigação evidenciou que </w:t>
      </w:r>
      <w:r w:rsidRPr="00C11B67">
        <w:rPr>
          <w:rFonts w:ascii="Arial" w:eastAsia="Arial" w:hAnsi="Arial" w:cs="Arial"/>
          <w:bCs/>
          <w:color w:val="000000" w:themeColor="text1"/>
          <w:sz w:val="24"/>
          <w:szCs w:val="24"/>
        </w:rPr>
        <w:lastRenderedPageBreak/>
        <w:t>estilos de liderança transformacional apresentam impacto significativo na motivação e no comprometimento dos colaboradores, principalmente por promoverem inspiração, reconhecimento e autonomia. Da mesma forma, verificou-se que a inteligência emocional dos gestores desempenha função essencial na gestão de conflitos, na redução do estresse e na criação de vínculos positivos, contribuindo para o fortalecimento da motivação intrínseca.</w:t>
      </w:r>
    </w:p>
    <w:p w14:paraId="0E861CB3" w14:textId="71A2E2C1"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A análise também demonstrou que fatores organizacionais, como feedback contínuo, clima positivo, comunicação transparente e valorização profissional, são determinantes para que os colaboradores percebam sentido e propósito em suas atividades. Ademais, práticas inovadoras, como a gamificação, mostraram-se eficazes quando aplicadas de maneira alinhada aos objetivos estratégicos e às necessidades reais das equipes, favorecendo o senso de pertencimento, o aprendizado e o engajamento contínuo. O endomarketing, por sua vez, revelou-se relevante para reforçar valores, fortalecer a identidade organizacional e promover segurança psicológica, consolidando vínculos entre empresa e colaborador.</w:t>
      </w:r>
    </w:p>
    <w:p w14:paraId="2412D3A4" w14:textId="756356F5"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A partir dessas reflexões, conclui-se que o engajamento não resulta de uma ação isolada, mas da combinação de múltiplos fatores pessoais, relacionais e organizacionais. As evidências reunidas indicam que práticas de gestão integradas — envolvendo liderança humanizada, desenvolvimento emocional, reconhecimento, comunicação clara e políticas de bem-estar — são fundamentais para a construção de equipes resilientes e comprometidas com os objetivos corporativos.</w:t>
      </w:r>
    </w:p>
    <w:p w14:paraId="28F3FB41" w14:textId="065CE29D"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Como contribuição para a área da gestão de pessoas, este estudo amplia a compreensão sobre os elementos que sustentam o engajamento e oferece subsídios teóricos que podem apoiar gestores na formulação de estratégias mais eficazes para o desenvolvimento humano nas organizações. Ao destacar práticas contemporâneas e seus impactos, reforça-se a importância de uma gestão sensível às demandas emocionais e profissionais dos colaboradores, especialmente em ambientes marcados por incertezas e transformações aceleradas.</w:t>
      </w:r>
    </w:p>
    <w:p w14:paraId="58AAB82D" w14:textId="133DEC4F"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No entanto, reconhece-se que a pesquisa apresenta limitações, sobretudo por se tratar de um estudo exclusivamente bibliográfico, sem aplicação empírica direta com equipes ou gestores. Além disso, a seleção de materiais restringiu-se ao período de 2018 a 2025, o que, embora garanta atualidade, pode não contemplar todas as perspectivas relevantes sobre o tema.</w:t>
      </w:r>
    </w:p>
    <w:p w14:paraId="4BE7E916" w14:textId="5B96CE96" w:rsidR="00C11B67"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lastRenderedPageBreak/>
        <w:t>Para futuras pesquisas, sugere-se a realização de estudos de campo que investiguem, na prática, a percepção dos colaboradores sobre as estratégias de engajamento adotadas pelas organizações. Também seria pertinente explorar comparativamente diferentes setores produtivos, bem como avaliar os efeitos da inteligência emocional e da gamificação em contextos específicos. Investigações longitudinais poderiam, ainda, analisar como práticas de gestão impactam o engajamento ao longo do tempo, considerando as constantes mudanças tecnológicas e organizacionais.</w:t>
      </w:r>
    </w:p>
    <w:p w14:paraId="583077B2" w14:textId="1AE5DB78" w:rsidR="00285D5D" w:rsidRPr="00C11B67" w:rsidRDefault="00C11B67" w:rsidP="00C11B67">
      <w:pPr>
        <w:spacing w:after="0" w:line="360" w:lineRule="auto"/>
        <w:ind w:firstLine="709"/>
        <w:jc w:val="both"/>
        <w:rPr>
          <w:rFonts w:ascii="Arial" w:eastAsia="Arial" w:hAnsi="Arial" w:cs="Arial"/>
          <w:bCs/>
          <w:color w:val="000000" w:themeColor="text1"/>
          <w:sz w:val="24"/>
          <w:szCs w:val="24"/>
        </w:rPr>
      </w:pPr>
      <w:r w:rsidRPr="00C11B67">
        <w:rPr>
          <w:rFonts w:ascii="Arial" w:eastAsia="Arial" w:hAnsi="Arial" w:cs="Arial"/>
          <w:bCs/>
          <w:color w:val="000000" w:themeColor="text1"/>
          <w:sz w:val="24"/>
          <w:szCs w:val="24"/>
        </w:rPr>
        <w:t>Dessa forma, conclui-se que promover o engajamento dos colaboradores é um desafio complexo, porém essencial para o sucesso das organizações contemporâneas. A adoção de práticas de gestão fundamentadas, humanas e estratégicas constitui um caminho sólido para o desenvolvimento de ambientes corporativos mais saudáveis, inovadores e sustentáveis.</w:t>
      </w:r>
    </w:p>
    <w:p w14:paraId="791D118B" w14:textId="77777777" w:rsidR="00C11B67" w:rsidRDefault="00C11B67" w:rsidP="008674BF">
      <w:pPr>
        <w:spacing w:after="0" w:line="360" w:lineRule="auto"/>
        <w:jc w:val="both"/>
        <w:rPr>
          <w:rFonts w:ascii="Arial" w:eastAsia="Arial" w:hAnsi="Arial" w:cs="Arial"/>
          <w:b/>
          <w:sz w:val="24"/>
          <w:szCs w:val="24"/>
        </w:rPr>
      </w:pPr>
    </w:p>
    <w:p w14:paraId="1168CFC4" w14:textId="77777777" w:rsidR="00763301" w:rsidRDefault="00763301" w:rsidP="008674BF">
      <w:pPr>
        <w:spacing w:after="0" w:line="360" w:lineRule="auto"/>
        <w:jc w:val="both"/>
        <w:rPr>
          <w:rFonts w:ascii="Arial" w:eastAsia="Arial" w:hAnsi="Arial" w:cs="Arial"/>
          <w:b/>
          <w:sz w:val="24"/>
          <w:szCs w:val="24"/>
        </w:rPr>
      </w:pPr>
    </w:p>
    <w:p w14:paraId="38ED8B35" w14:textId="77777777" w:rsidR="00763301" w:rsidRDefault="00763301" w:rsidP="008674BF">
      <w:pPr>
        <w:spacing w:after="0" w:line="360" w:lineRule="auto"/>
        <w:jc w:val="both"/>
        <w:rPr>
          <w:rFonts w:ascii="Arial" w:eastAsia="Arial" w:hAnsi="Arial" w:cs="Arial"/>
          <w:b/>
          <w:sz w:val="24"/>
          <w:szCs w:val="24"/>
        </w:rPr>
      </w:pPr>
    </w:p>
    <w:p w14:paraId="4C3AEAE9" w14:textId="77777777" w:rsidR="00763301" w:rsidRDefault="00763301" w:rsidP="008674BF">
      <w:pPr>
        <w:spacing w:after="0" w:line="360" w:lineRule="auto"/>
        <w:jc w:val="both"/>
        <w:rPr>
          <w:rFonts w:ascii="Arial" w:eastAsia="Arial" w:hAnsi="Arial" w:cs="Arial"/>
          <w:b/>
          <w:sz w:val="24"/>
          <w:szCs w:val="24"/>
        </w:rPr>
      </w:pPr>
    </w:p>
    <w:p w14:paraId="5F5461AF" w14:textId="77777777" w:rsidR="00A634EF" w:rsidRDefault="00A634EF" w:rsidP="008674BF">
      <w:pPr>
        <w:spacing w:after="0" w:line="360" w:lineRule="auto"/>
        <w:jc w:val="both"/>
        <w:rPr>
          <w:rFonts w:ascii="Arial" w:eastAsia="Arial" w:hAnsi="Arial" w:cs="Arial"/>
          <w:b/>
          <w:sz w:val="24"/>
          <w:szCs w:val="24"/>
        </w:rPr>
      </w:pPr>
    </w:p>
    <w:p w14:paraId="4873CA63" w14:textId="77777777" w:rsidR="00A634EF" w:rsidRDefault="00A634EF" w:rsidP="008674BF">
      <w:pPr>
        <w:spacing w:after="0" w:line="360" w:lineRule="auto"/>
        <w:jc w:val="both"/>
        <w:rPr>
          <w:rFonts w:ascii="Arial" w:eastAsia="Arial" w:hAnsi="Arial" w:cs="Arial"/>
          <w:b/>
          <w:sz w:val="24"/>
          <w:szCs w:val="24"/>
        </w:rPr>
      </w:pPr>
    </w:p>
    <w:p w14:paraId="261493F1" w14:textId="77777777" w:rsidR="00A634EF" w:rsidRDefault="00A634EF" w:rsidP="008674BF">
      <w:pPr>
        <w:spacing w:after="0" w:line="360" w:lineRule="auto"/>
        <w:jc w:val="both"/>
        <w:rPr>
          <w:rFonts w:ascii="Arial" w:eastAsia="Arial" w:hAnsi="Arial" w:cs="Arial"/>
          <w:b/>
          <w:sz w:val="24"/>
          <w:szCs w:val="24"/>
        </w:rPr>
      </w:pPr>
    </w:p>
    <w:p w14:paraId="7EB7B3A0" w14:textId="77777777" w:rsidR="00A634EF" w:rsidRDefault="00A634EF" w:rsidP="008674BF">
      <w:pPr>
        <w:spacing w:after="0" w:line="360" w:lineRule="auto"/>
        <w:jc w:val="both"/>
        <w:rPr>
          <w:rFonts w:ascii="Arial" w:eastAsia="Arial" w:hAnsi="Arial" w:cs="Arial"/>
          <w:b/>
          <w:sz w:val="24"/>
          <w:szCs w:val="24"/>
        </w:rPr>
      </w:pPr>
    </w:p>
    <w:p w14:paraId="1E20CF9C" w14:textId="77777777" w:rsidR="00A634EF" w:rsidRDefault="00A634EF" w:rsidP="008674BF">
      <w:pPr>
        <w:spacing w:after="0" w:line="360" w:lineRule="auto"/>
        <w:jc w:val="both"/>
        <w:rPr>
          <w:rFonts w:ascii="Arial" w:eastAsia="Arial" w:hAnsi="Arial" w:cs="Arial"/>
          <w:b/>
          <w:sz w:val="24"/>
          <w:szCs w:val="24"/>
        </w:rPr>
      </w:pPr>
    </w:p>
    <w:p w14:paraId="281F3BE9" w14:textId="77777777" w:rsidR="00A634EF" w:rsidRDefault="00A634EF" w:rsidP="008674BF">
      <w:pPr>
        <w:spacing w:after="0" w:line="360" w:lineRule="auto"/>
        <w:jc w:val="both"/>
        <w:rPr>
          <w:rFonts w:ascii="Arial" w:eastAsia="Arial" w:hAnsi="Arial" w:cs="Arial"/>
          <w:b/>
          <w:sz w:val="24"/>
          <w:szCs w:val="24"/>
        </w:rPr>
      </w:pPr>
    </w:p>
    <w:p w14:paraId="2694AE7F" w14:textId="77777777" w:rsidR="00A634EF" w:rsidRDefault="00A634EF" w:rsidP="008674BF">
      <w:pPr>
        <w:spacing w:after="0" w:line="360" w:lineRule="auto"/>
        <w:jc w:val="both"/>
        <w:rPr>
          <w:rFonts w:ascii="Arial" w:eastAsia="Arial" w:hAnsi="Arial" w:cs="Arial"/>
          <w:b/>
          <w:sz w:val="24"/>
          <w:szCs w:val="24"/>
        </w:rPr>
      </w:pPr>
    </w:p>
    <w:p w14:paraId="10433BCF" w14:textId="77777777" w:rsidR="00A634EF" w:rsidRDefault="00A634EF" w:rsidP="008674BF">
      <w:pPr>
        <w:spacing w:after="0" w:line="360" w:lineRule="auto"/>
        <w:jc w:val="both"/>
        <w:rPr>
          <w:rFonts w:ascii="Arial" w:eastAsia="Arial" w:hAnsi="Arial" w:cs="Arial"/>
          <w:b/>
          <w:sz w:val="24"/>
          <w:szCs w:val="24"/>
        </w:rPr>
      </w:pPr>
    </w:p>
    <w:p w14:paraId="64BF1D5C" w14:textId="77777777" w:rsidR="00A634EF" w:rsidRDefault="00A634EF" w:rsidP="008674BF">
      <w:pPr>
        <w:spacing w:after="0" w:line="360" w:lineRule="auto"/>
        <w:jc w:val="both"/>
        <w:rPr>
          <w:rFonts w:ascii="Arial" w:eastAsia="Arial" w:hAnsi="Arial" w:cs="Arial"/>
          <w:b/>
          <w:sz w:val="24"/>
          <w:szCs w:val="24"/>
        </w:rPr>
      </w:pPr>
    </w:p>
    <w:p w14:paraId="428B9D0A" w14:textId="77777777" w:rsidR="00A634EF" w:rsidRDefault="00A634EF" w:rsidP="008674BF">
      <w:pPr>
        <w:spacing w:after="0" w:line="360" w:lineRule="auto"/>
        <w:jc w:val="both"/>
        <w:rPr>
          <w:rFonts w:ascii="Arial" w:eastAsia="Arial" w:hAnsi="Arial" w:cs="Arial"/>
          <w:b/>
          <w:sz w:val="24"/>
          <w:szCs w:val="24"/>
        </w:rPr>
      </w:pPr>
    </w:p>
    <w:p w14:paraId="06184D60" w14:textId="77777777" w:rsidR="00A634EF" w:rsidRDefault="00A634EF" w:rsidP="008674BF">
      <w:pPr>
        <w:spacing w:after="0" w:line="360" w:lineRule="auto"/>
        <w:jc w:val="both"/>
        <w:rPr>
          <w:rFonts w:ascii="Arial" w:eastAsia="Arial" w:hAnsi="Arial" w:cs="Arial"/>
          <w:b/>
          <w:sz w:val="24"/>
          <w:szCs w:val="24"/>
        </w:rPr>
      </w:pPr>
    </w:p>
    <w:p w14:paraId="24D55BDE" w14:textId="77777777" w:rsidR="00A634EF" w:rsidRDefault="00A634EF" w:rsidP="008674BF">
      <w:pPr>
        <w:spacing w:after="0" w:line="360" w:lineRule="auto"/>
        <w:jc w:val="both"/>
        <w:rPr>
          <w:rFonts w:ascii="Arial" w:eastAsia="Arial" w:hAnsi="Arial" w:cs="Arial"/>
          <w:b/>
          <w:sz w:val="24"/>
          <w:szCs w:val="24"/>
        </w:rPr>
      </w:pPr>
    </w:p>
    <w:p w14:paraId="25EB7E66" w14:textId="77777777" w:rsidR="00A634EF" w:rsidRDefault="00A634EF" w:rsidP="008674BF">
      <w:pPr>
        <w:spacing w:after="0" w:line="360" w:lineRule="auto"/>
        <w:jc w:val="both"/>
        <w:rPr>
          <w:rFonts w:ascii="Arial" w:eastAsia="Arial" w:hAnsi="Arial" w:cs="Arial"/>
          <w:b/>
          <w:sz w:val="24"/>
          <w:szCs w:val="24"/>
        </w:rPr>
      </w:pPr>
    </w:p>
    <w:p w14:paraId="40ADE0EC" w14:textId="77777777" w:rsidR="00A634EF" w:rsidRDefault="00A634EF" w:rsidP="008674BF">
      <w:pPr>
        <w:spacing w:after="0" w:line="360" w:lineRule="auto"/>
        <w:jc w:val="both"/>
        <w:rPr>
          <w:rFonts w:ascii="Arial" w:eastAsia="Arial" w:hAnsi="Arial" w:cs="Arial"/>
          <w:b/>
          <w:sz w:val="24"/>
          <w:szCs w:val="24"/>
        </w:rPr>
      </w:pPr>
    </w:p>
    <w:p w14:paraId="03897E38" w14:textId="77777777" w:rsidR="00763301" w:rsidRDefault="00763301" w:rsidP="008674BF">
      <w:pPr>
        <w:spacing w:after="0" w:line="360" w:lineRule="auto"/>
        <w:jc w:val="both"/>
        <w:rPr>
          <w:rFonts w:ascii="Arial" w:eastAsia="Arial" w:hAnsi="Arial" w:cs="Arial"/>
          <w:b/>
          <w:sz w:val="24"/>
          <w:szCs w:val="24"/>
        </w:rPr>
      </w:pPr>
    </w:p>
    <w:p w14:paraId="5FEE7F4D" w14:textId="77777777" w:rsidR="00763301" w:rsidRDefault="00763301" w:rsidP="008674BF">
      <w:pPr>
        <w:spacing w:after="0" w:line="360" w:lineRule="auto"/>
        <w:jc w:val="both"/>
        <w:rPr>
          <w:rFonts w:ascii="Arial" w:eastAsia="Arial" w:hAnsi="Arial" w:cs="Arial"/>
          <w:b/>
          <w:sz w:val="24"/>
          <w:szCs w:val="24"/>
        </w:rPr>
      </w:pPr>
    </w:p>
    <w:p w14:paraId="3C8A3F86" w14:textId="340A1430" w:rsidR="00763301" w:rsidRDefault="00763301" w:rsidP="008674BF">
      <w:pPr>
        <w:spacing w:after="0" w:line="360" w:lineRule="auto"/>
        <w:jc w:val="both"/>
        <w:rPr>
          <w:rFonts w:ascii="Arial" w:eastAsia="Arial" w:hAnsi="Arial" w:cs="Arial"/>
          <w:b/>
          <w:sz w:val="24"/>
          <w:szCs w:val="24"/>
        </w:rPr>
      </w:pPr>
    </w:p>
    <w:p w14:paraId="07D53AAB" w14:textId="77777777" w:rsidR="005E57FB" w:rsidRPr="007810F6" w:rsidRDefault="00F5521B">
      <w:pPr>
        <w:spacing w:after="0" w:line="360" w:lineRule="auto"/>
        <w:jc w:val="both"/>
        <w:rPr>
          <w:rFonts w:ascii="Arial" w:eastAsia="Arial" w:hAnsi="Arial" w:cs="Arial"/>
          <w:b/>
          <w:sz w:val="24"/>
          <w:szCs w:val="24"/>
          <w:lang w:val="en-US"/>
        </w:rPr>
      </w:pPr>
      <w:r w:rsidRPr="007810F6">
        <w:rPr>
          <w:rFonts w:ascii="Arial" w:eastAsia="Arial" w:hAnsi="Arial" w:cs="Arial"/>
          <w:b/>
          <w:sz w:val="24"/>
          <w:szCs w:val="24"/>
          <w:lang w:val="en-US"/>
        </w:rPr>
        <w:lastRenderedPageBreak/>
        <w:t>REFERÊNCIAS</w:t>
      </w:r>
    </w:p>
    <w:p w14:paraId="77D136BB" w14:textId="77777777" w:rsidR="002A3BCC" w:rsidRDefault="002A3BCC" w:rsidP="00A83964">
      <w:pPr>
        <w:spacing w:after="0" w:line="240" w:lineRule="auto"/>
        <w:rPr>
          <w:rFonts w:ascii="Arial" w:eastAsia="Arial" w:hAnsi="Arial" w:cs="Arial"/>
          <w:sz w:val="24"/>
          <w:szCs w:val="24"/>
          <w:lang w:val="en-US"/>
        </w:rPr>
      </w:pPr>
    </w:p>
    <w:p w14:paraId="1A1BAECB" w14:textId="77777777" w:rsidR="00DB5B67" w:rsidRPr="00DB5B67" w:rsidRDefault="00DB5B67" w:rsidP="00DB5B67">
      <w:pPr>
        <w:spacing w:after="0" w:line="240" w:lineRule="auto"/>
        <w:rPr>
          <w:rFonts w:ascii="Arial" w:eastAsia="Arial" w:hAnsi="Arial" w:cs="Arial"/>
          <w:sz w:val="24"/>
          <w:szCs w:val="24"/>
        </w:rPr>
      </w:pPr>
      <w:r w:rsidRPr="00A634EF">
        <w:rPr>
          <w:rFonts w:ascii="Arial" w:eastAsia="Arial" w:hAnsi="Arial" w:cs="Arial"/>
          <w:sz w:val="24"/>
          <w:szCs w:val="24"/>
          <w:lang w:val="en-US"/>
        </w:rPr>
        <w:t xml:space="preserve">BASS, B. M.; AVOLIO, B. J. Improving organizational effectiveness through transformational leadership. </w:t>
      </w:r>
      <w:r w:rsidRPr="00DB5B67">
        <w:rPr>
          <w:rFonts w:ascii="Arial" w:eastAsia="Arial" w:hAnsi="Arial" w:cs="Arial"/>
          <w:sz w:val="24"/>
          <w:szCs w:val="24"/>
        </w:rPr>
        <w:t xml:space="preserve">Thousand Oaks: </w:t>
      </w:r>
      <w:proofErr w:type="spellStart"/>
      <w:r w:rsidRPr="00DB5B67">
        <w:rPr>
          <w:rFonts w:ascii="Arial" w:eastAsia="Arial" w:hAnsi="Arial" w:cs="Arial"/>
          <w:sz w:val="24"/>
          <w:szCs w:val="24"/>
        </w:rPr>
        <w:t>Sage</w:t>
      </w:r>
      <w:proofErr w:type="spellEnd"/>
      <w:r w:rsidRPr="00DB5B67">
        <w:rPr>
          <w:rFonts w:ascii="Arial" w:eastAsia="Arial" w:hAnsi="Arial" w:cs="Arial"/>
          <w:sz w:val="24"/>
          <w:szCs w:val="24"/>
        </w:rPr>
        <w:t xml:space="preserve"> </w:t>
      </w:r>
      <w:proofErr w:type="spellStart"/>
      <w:r w:rsidRPr="00DB5B67">
        <w:rPr>
          <w:rFonts w:ascii="Arial" w:eastAsia="Arial" w:hAnsi="Arial" w:cs="Arial"/>
          <w:sz w:val="24"/>
          <w:szCs w:val="24"/>
        </w:rPr>
        <w:t>Publications</w:t>
      </w:r>
      <w:proofErr w:type="spellEnd"/>
      <w:r w:rsidRPr="00DB5B67">
        <w:rPr>
          <w:rFonts w:ascii="Arial" w:eastAsia="Arial" w:hAnsi="Arial" w:cs="Arial"/>
          <w:sz w:val="24"/>
          <w:szCs w:val="24"/>
        </w:rPr>
        <w:t>, 1994.</w:t>
      </w:r>
    </w:p>
    <w:p w14:paraId="330D682E" w14:textId="77777777" w:rsidR="00DB5B67" w:rsidRPr="00DB5B67" w:rsidRDefault="00DB5B67" w:rsidP="00DB5B67">
      <w:pPr>
        <w:spacing w:after="0" w:line="240" w:lineRule="auto"/>
        <w:rPr>
          <w:rFonts w:ascii="Arial" w:eastAsia="Arial" w:hAnsi="Arial" w:cs="Arial"/>
          <w:sz w:val="24"/>
          <w:szCs w:val="24"/>
        </w:rPr>
      </w:pPr>
    </w:p>
    <w:p w14:paraId="24627CA9" w14:textId="77777777" w:rsid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CHIAVENATO, Idalberto. Gestão de pessoas: o novo papel dos recursos humanos nas organizações. 4. ed. Barueri: Manole, 2014.</w:t>
      </w:r>
    </w:p>
    <w:p w14:paraId="7A1E1C2A" w14:textId="77777777" w:rsidR="00D32BD6" w:rsidRDefault="00D32BD6" w:rsidP="00DB5B67">
      <w:pPr>
        <w:spacing w:after="0" w:line="240" w:lineRule="auto"/>
        <w:rPr>
          <w:rFonts w:ascii="Arial" w:eastAsia="Arial" w:hAnsi="Arial" w:cs="Arial"/>
          <w:sz w:val="24"/>
          <w:szCs w:val="24"/>
        </w:rPr>
      </w:pPr>
    </w:p>
    <w:p w14:paraId="72021E98" w14:textId="77777777" w:rsidR="00D32BD6" w:rsidRPr="00DB5B67" w:rsidRDefault="00D32BD6" w:rsidP="00D32BD6">
      <w:pPr>
        <w:spacing w:after="0" w:line="240" w:lineRule="auto"/>
        <w:rPr>
          <w:rFonts w:ascii="Arial" w:eastAsia="Arial" w:hAnsi="Arial" w:cs="Arial"/>
          <w:sz w:val="24"/>
          <w:szCs w:val="24"/>
        </w:rPr>
      </w:pPr>
      <w:r w:rsidRPr="00D32BD6">
        <w:rPr>
          <w:rFonts w:ascii="Arial" w:eastAsia="Arial" w:hAnsi="Arial" w:cs="Arial"/>
          <w:sz w:val="24"/>
          <w:szCs w:val="24"/>
        </w:rPr>
        <w:t xml:space="preserve">COSTA, Esdras da Silva; MOURA, Andressa de Castro. Motivação como fator de sucesso para a gestão de carreira: o papel do administrador na melhoria das relações de trabalho. Revista de Carreiras e Pessoas – </w:t>
      </w:r>
      <w:proofErr w:type="spellStart"/>
      <w:r w:rsidRPr="00D32BD6">
        <w:rPr>
          <w:rFonts w:ascii="Arial" w:eastAsia="Arial" w:hAnsi="Arial" w:cs="Arial"/>
          <w:sz w:val="24"/>
          <w:szCs w:val="24"/>
        </w:rPr>
        <w:t>RECaPe</w:t>
      </w:r>
      <w:proofErr w:type="spellEnd"/>
      <w:r w:rsidRPr="00D32BD6">
        <w:rPr>
          <w:rFonts w:ascii="Arial" w:eastAsia="Arial" w:hAnsi="Arial" w:cs="Arial"/>
          <w:sz w:val="24"/>
          <w:szCs w:val="24"/>
        </w:rPr>
        <w:t>, v. 8, n. 2, p. 212-226, 2018.</w:t>
      </w:r>
      <w:r w:rsidRPr="00DB5B67">
        <w:rPr>
          <w:rFonts w:ascii="Arial" w:eastAsia="Arial" w:hAnsi="Arial" w:cs="Arial"/>
          <w:sz w:val="24"/>
          <w:szCs w:val="24"/>
        </w:rPr>
        <w:t xml:space="preserve"> Disponível em:</w:t>
      </w:r>
      <w:r w:rsidRPr="00D32BD6">
        <w:rPr>
          <w:rFonts w:ascii="Arial" w:eastAsia="Arial" w:hAnsi="Arial" w:cs="Arial"/>
          <w:sz w:val="24"/>
          <w:szCs w:val="24"/>
        </w:rPr>
        <w:t xml:space="preserve"> </w:t>
      </w:r>
      <w:r w:rsidRPr="00DB5B67">
        <w:rPr>
          <w:rFonts w:ascii="Arial" w:eastAsia="Arial" w:hAnsi="Arial" w:cs="Arial"/>
          <w:sz w:val="24"/>
          <w:szCs w:val="24"/>
        </w:rPr>
        <w:t>https://revistas.pucsp.br/ReCaPe/article/view/33816. Acesso em: 2 nov. 2025.</w:t>
      </w:r>
    </w:p>
    <w:p w14:paraId="715531F6" w14:textId="77777777" w:rsidR="00DB5B67" w:rsidRPr="00DB5B67" w:rsidRDefault="00DB5B67" w:rsidP="00DB5B67">
      <w:pPr>
        <w:spacing w:after="0" w:line="240" w:lineRule="auto"/>
        <w:rPr>
          <w:rFonts w:ascii="Arial" w:eastAsia="Arial" w:hAnsi="Arial" w:cs="Arial"/>
          <w:sz w:val="24"/>
          <w:szCs w:val="24"/>
        </w:rPr>
      </w:pPr>
    </w:p>
    <w:p w14:paraId="5415A9AA" w14:textId="74C51B56"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DINÂMICA de engajamento em equipes de projetos. Revista de Secretariado Executivo, 2021. Disponível em: https://ojs.revistagesec.org.br/secretariado/article/view/1224. Acesso em: 2 nov. 2025.</w:t>
      </w:r>
    </w:p>
    <w:p w14:paraId="5E1AB60C" w14:textId="77777777" w:rsidR="00DB5B67" w:rsidRPr="00DB5B67" w:rsidRDefault="00DB5B67" w:rsidP="00DB5B67">
      <w:pPr>
        <w:spacing w:after="0" w:line="240" w:lineRule="auto"/>
        <w:rPr>
          <w:rFonts w:ascii="Arial" w:eastAsia="Arial" w:hAnsi="Arial" w:cs="Arial"/>
          <w:sz w:val="24"/>
          <w:szCs w:val="24"/>
        </w:rPr>
      </w:pPr>
    </w:p>
    <w:p w14:paraId="04E561B9" w14:textId="0657E3A6"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 xml:space="preserve">FERREIRA, P. J. Gamificação e gestão de pessoas: um estudo de caso sobre treinamento e ambiente de diversidade cultural. Revista </w:t>
      </w:r>
      <w:proofErr w:type="spellStart"/>
      <w:r w:rsidRPr="00DB5B67">
        <w:rPr>
          <w:rFonts w:ascii="Arial" w:eastAsia="Arial" w:hAnsi="Arial" w:cs="Arial"/>
          <w:sz w:val="24"/>
          <w:szCs w:val="24"/>
        </w:rPr>
        <w:t>ReCaPe</w:t>
      </w:r>
      <w:proofErr w:type="spellEnd"/>
      <w:r w:rsidRPr="00DB5B67">
        <w:rPr>
          <w:rFonts w:ascii="Arial" w:eastAsia="Arial" w:hAnsi="Arial" w:cs="Arial"/>
          <w:sz w:val="24"/>
          <w:szCs w:val="24"/>
        </w:rPr>
        <w:t>, PUC-SP, 2018. Disponível em: https://revistas.pucsp.br/ReCaPe/article/view/33816. Acesso em: 2 nov. 2025.</w:t>
      </w:r>
    </w:p>
    <w:p w14:paraId="6EE2B7B1" w14:textId="77777777" w:rsidR="00DB5B67" w:rsidRPr="00DB5B67" w:rsidRDefault="00DB5B67" w:rsidP="00DB5B67">
      <w:pPr>
        <w:spacing w:after="0" w:line="240" w:lineRule="auto"/>
        <w:rPr>
          <w:rFonts w:ascii="Arial" w:eastAsia="Arial" w:hAnsi="Arial" w:cs="Arial"/>
          <w:sz w:val="24"/>
          <w:szCs w:val="24"/>
        </w:rPr>
      </w:pPr>
    </w:p>
    <w:p w14:paraId="4F1253E8" w14:textId="3265CC35"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 xml:space="preserve">GOMES, L. M. et al. Gamificação e jogos sérios para motivação e engajamento no trabalho: estudo com profissionais de tecnologia da informação e comunicação (TIC). </w:t>
      </w:r>
      <w:proofErr w:type="spellStart"/>
      <w:r w:rsidRPr="00DB5B67">
        <w:rPr>
          <w:rFonts w:ascii="Arial" w:eastAsia="Arial" w:hAnsi="Arial" w:cs="Arial"/>
          <w:sz w:val="24"/>
          <w:szCs w:val="24"/>
        </w:rPr>
        <w:t>ResearchGate</w:t>
      </w:r>
      <w:proofErr w:type="spellEnd"/>
      <w:r w:rsidRPr="00DB5B67">
        <w:rPr>
          <w:rFonts w:ascii="Arial" w:eastAsia="Arial" w:hAnsi="Arial" w:cs="Arial"/>
          <w:sz w:val="24"/>
          <w:szCs w:val="24"/>
        </w:rPr>
        <w:t>, 2021. Disponível em: https://www.researchgate.net/. Acesso em: 2 nov. 2025.</w:t>
      </w:r>
    </w:p>
    <w:p w14:paraId="0D29B9CF" w14:textId="77777777" w:rsidR="00DB5B67" w:rsidRPr="00DB5B67" w:rsidRDefault="00DB5B67" w:rsidP="00DB5B67">
      <w:pPr>
        <w:spacing w:after="0" w:line="240" w:lineRule="auto"/>
        <w:rPr>
          <w:rFonts w:ascii="Arial" w:eastAsia="Arial" w:hAnsi="Arial" w:cs="Arial"/>
          <w:sz w:val="24"/>
          <w:szCs w:val="24"/>
        </w:rPr>
      </w:pPr>
    </w:p>
    <w:p w14:paraId="23C0BFBA" w14:textId="474B64C6"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INTELIGÊNCIA emocional e engajamento no ambiente de trabalho: estudo empírico a partir de gestores e equipes. Revista Gestão Organizacional, 2020. Disponível em: https://bell.unochapeco.edu.br/revistas/index.php/rgo/article/view/3980. Acesso em: 2 nov. 2025.</w:t>
      </w:r>
    </w:p>
    <w:p w14:paraId="3487FE97" w14:textId="77777777" w:rsidR="00DB5B67" w:rsidRPr="00DB5B67" w:rsidRDefault="00DB5B67" w:rsidP="00DB5B67">
      <w:pPr>
        <w:spacing w:after="0" w:line="240" w:lineRule="auto"/>
        <w:rPr>
          <w:rFonts w:ascii="Arial" w:eastAsia="Arial" w:hAnsi="Arial" w:cs="Arial"/>
          <w:sz w:val="24"/>
          <w:szCs w:val="24"/>
        </w:rPr>
      </w:pPr>
    </w:p>
    <w:p w14:paraId="5F8ABFD4" w14:textId="0B0E8685"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INTELIGÊNCIA emocional e engajamento no ambiente de trabalho: estudo empírico a partir de trabalhadores gaúchos. Revista Gestão Organizacional, 2021. Disponível em: https://d1wqtxts1xzle7.cloudfront.net/. Acesso em: 2 nov. 2025.</w:t>
      </w:r>
    </w:p>
    <w:p w14:paraId="68EE20F3" w14:textId="77777777" w:rsidR="00DB5B67" w:rsidRPr="00DB5B67" w:rsidRDefault="00DB5B67" w:rsidP="00DB5B67">
      <w:pPr>
        <w:spacing w:after="0" w:line="240" w:lineRule="auto"/>
        <w:rPr>
          <w:rFonts w:ascii="Arial" w:eastAsia="Arial" w:hAnsi="Arial" w:cs="Arial"/>
          <w:sz w:val="24"/>
          <w:szCs w:val="24"/>
        </w:rPr>
      </w:pPr>
    </w:p>
    <w:p w14:paraId="1272EA90" w14:textId="77777777" w:rsidR="00DB5B67" w:rsidRPr="00A634EF" w:rsidRDefault="00DB5B67" w:rsidP="00DB5B67">
      <w:pPr>
        <w:spacing w:after="0" w:line="240" w:lineRule="auto"/>
        <w:rPr>
          <w:rFonts w:ascii="Arial" w:eastAsia="Arial" w:hAnsi="Arial" w:cs="Arial"/>
          <w:sz w:val="24"/>
          <w:szCs w:val="24"/>
          <w:lang w:val="en-US"/>
        </w:rPr>
      </w:pPr>
      <w:r w:rsidRPr="00A634EF">
        <w:rPr>
          <w:rFonts w:ascii="Arial" w:eastAsia="Arial" w:hAnsi="Arial" w:cs="Arial"/>
          <w:sz w:val="24"/>
          <w:szCs w:val="24"/>
          <w:lang w:val="en-US"/>
        </w:rPr>
        <w:t>KAHN, W. A. Psychological conditions of personal engagement and disengagement at work. Academy of Management Journal, v. 33, n. 4, p. 692-724, 1990.</w:t>
      </w:r>
    </w:p>
    <w:p w14:paraId="5D9D5972" w14:textId="77777777" w:rsidR="00DB5B67" w:rsidRPr="00A634EF" w:rsidRDefault="00DB5B67" w:rsidP="00DB5B67">
      <w:pPr>
        <w:spacing w:after="0" w:line="240" w:lineRule="auto"/>
        <w:rPr>
          <w:rFonts w:ascii="Arial" w:eastAsia="Arial" w:hAnsi="Arial" w:cs="Arial"/>
          <w:sz w:val="24"/>
          <w:szCs w:val="24"/>
          <w:lang w:val="en-US"/>
        </w:rPr>
      </w:pPr>
    </w:p>
    <w:p w14:paraId="787D6106" w14:textId="77777777" w:rsidR="00DB5B67" w:rsidRPr="00A634EF" w:rsidRDefault="00DB5B67" w:rsidP="00DB5B67">
      <w:pPr>
        <w:spacing w:after="0" w:line="240" w:lineRule="auto"/>
        <w:rPr>
          <w:rFonts w:ascii="Arial" w:eastAsia="Arial" w:hAnsi="Arial" w:cs="Arial"/>
          <w:sz w:val="24"/>
          <w:szCs w:val="24"/>
          <w:lang w:val="en-US"/>
        </w:rPr>
      </w:pPr>
      <w:r w:rsidRPr="00A634EF">
        <w:rPr>
          <w:rFonts w:ascii="Arial" w:eastAsia="Arial" w:hAnsi="Arial" w:cs="Arial"/>
          <w:sz w:val="24"/>
          <w:szCs w:val="24"/>
          <w:lang w:val="en-US"/>
        </w:rPr>
        <w:t>KRUSE, K. Employee Engagement 2.0: How to Motivate Your Team for High Performance (A Real-World Guide for Busy Managers). New Jersey: The Kruse Group, 2012.</w:t>
      </w:r>
    </w:p>
    <w:p w14:paraId="7D00119F" w14:textId="77777777" w:rsidR="00DB5B67" w:rsidRPr="00A634EF" w:rsidRDefault="00DB5B67" w:rsidP="00DB5B67">
      <w:pPr>
        <w:spacing w:after="0" w:line="240" w:lineRule="auto"/>
        <w:rPr>
          <w:rFonts w:ascii="Arial" w:eastAsia="Arial" w:hAnsi="Arial" w:cs="Arial"/>
          <w:sz w:val="24"/>
          <w:szCs w:val="24"/>
          <w:lang w:val="en-US"/>
        </w:rPr>
      </w:pPr>
    </w:p>
    <w:p w14:paraId="4E03668C" w14:textId="6D73B5B3" w:rsidR="00DB5B67" w:rsidRPr="00DB5B67" w:rsidRDefault="00DB5B67" w:rsidP="00DB5B67">
      <w:pPr>
        <w:spacing w:after="0" w:line="240" w:lineRule="auto"/>
        <w:rPr>
          <w:rFonts w:ascii="Arial" w:eastAsia="Arial" w:hAnsi="Arial" w:cs="Arial"/>
          <w:sz w:val="24"/>
          <w:szCs w:val="24"/>
        </w:rPr>
      </w:pPr>
      <w:r w:rsidRPr="00A634EF">
        <w:rPr>
          <w:rFonts w:ascii="Arial" w:eastAsia="Arial" w:hAnsi="Arial" w:cs="Arial"/>
          <w:sz w:val="24"/>
          <w:szCs w:val="24"/>
          <w:lang w:val="en-US"/>
        </w:rPr>
        <w:t xml:space="preserve">LIMA, D. P. </w:t>
      </w:r>
      <w:proofErr w:type="spellStart"/>
      <w:r w:rsidRPr="00A634EF">
        <w:rPr>
          <w:rFonts w:ascii="Arial" w:eastAsia="Arial" w:hAnsi="Arial" w:cs="Arial"/>
          <w:sz w:val="24"/>
          <w:szCs w:val="24"/>
          <w:lang w:val="en-US"/>
        </w:rPr>
        <w:t>Endomarketing</w:t>
      </w:r>
      <w:proofErr w:type="spellEnd"/>
      <w:r w:rsidRPr="00A634EF">
        <w:rPr>
          <w:rFonts w:ascii="Arial" w:eastAsia="Arial" w:hAnsi="Arial" w:cs="Arial"/>
          <w:sz w:val="24"/>
          <w:szCs w:val="24"/>
          <w:lang w:val="en-US"/>
        </w:rPr>
        <w:t xml:space="preserve"> </w:t>
      </w:r>
      <w:proofErr w:type="spellStart"/>
      <w:r w:rsidRPr="00A634EF">
        <w:rPr>
          <w:rFonts w:ascii="Arial" w:eastAsia="Arial" w:hAnsi="Arial" w:cs="Arial"/>
          <w:sz w:val="24"/>
          <w:szCs w:val="24"/>
          <w:lang w:val="en-US"/>
        </w:rPr>
        <w:t>como</w:t>
      </w:r>
      <w:proofErr w:type="spellEnd"/>
      <w:r w:rsidRPr="00A634EF">
        <w:rPr>
          <w:rFonts w:ascii="Arial" w:eastAsia="Arial" w:hAnsi="Arial" w:cs="Arial"/>
          <w:sz w:val="24"/>
          <w:szCs w:val="24"/>
          <w:lang w:val="en-US"/>
        </w:rPr>
        <w:t xml:space="preserve"> </w:t>
      </w:r>
      <w:proofErr w:type="spellStart"/>
      <w:r w:rsidRPr="00A634EF">
        <w:rPr>
          <w:rFonts w:ascii="Arial" w:eastAsia="Arial" w:hAnsi="Arial" w:cs="Arial"/>
          <w:sz w:val="24"/>
          <w:szCs w:val="24"/>
          <w:lang w:val="en-US"/>
        </w:rPr>
        <w:t>missão</w:t>
      </w:r>
      <w:proofErr w:type="spellEnd"/>
      <w:r w:rsidRPr="00A634EF">
        <w:rPr>
          <w:rFonts w:ascii="Arial" w:eastAsia="Arial" w:hAnsi="Arial" w:cs="Arial"/>
          <w:sz w:val="24"/>
          <w:szCs w:val="24"/>
          <w:lang w:val="en-US"/>
        </w:rPr>
        <w:t xml:space="preserve"> no </w:t>
      </w:r>
      <w:proofErr w:type="spellStart"/>
      <w:r w:rsidRPr="00A634EF">
        <w:rPr>
          <w:rFonts w:ascii="Arial" w:eastAsia="Arial" w:hAnsi="Arial" w:cs="Arial"/>
          <w:sz w:val="24"/>
          <w:szCs w:val="24"/>
          <w:lang w:val="en-US"/>
        </w:rPr>
        <w:t>engajamento</w:t>
      </w:r>
      <w:proofErr w:type="spellEnd"/>
      <w:r w:rsidRPr="00A634EF">
        <w:rPr>
          <w:rFonts w:ascii="Arial" w:eastAsia="Arial" w:hAnsi="Arial" w:cs="Arial"/>
          <w:sz w:val="24"/>
          <w:szCs w:val="24"/>
          <w:lang w:val="en-US"/>
        </w:rPr>
        <w:t xml:space="preserve">. </w:t>
      </w:r>
      <w:r w:rsidRPr="00DB5B67">
        <w:rPr>
          <w:rFonts w:ascii="Arial" w:eastAsia="Arial" w:hAnsi="Arial" w:cs="Arial"/>
          <w:sz w:val="24"/>
          <w:szCs w:val="24"/>
        </w:rPr>
        <w:t>Revista RECIMA21, 2023. Disponível em: https://recima21.com.br/index.php/recima21/article/view/3244. Acesso em: 2 nov. 2025.</w:t>
      </w:r>
    </w:p>
    <w:p w14:paraId="7381F01C" w14:textId="77777777" w:rsidR="00DB5B67" w:rsidRPr="00DB5B67" w:rsidRDefault="00DB5B67" w:rsidP="00DB5B67">
      <w:pPr>
        <w:spacing w:after="0" w:line="240" w:lineRule="auto"/>
        <w:rPr>
          <w:rFonts w:ascii="Arial" w:eastAsia="Arial" w:hAnsi="Arial" w:cs="Arial"/>
          <w:sz w:val="24"/>
          <w:szCs w:val="24"/>
        </w:rPr>
      </w:pPr>
    </w:p>
    <w:p w14:paraId="28F6BCEC" w14:textId="625B8E6C" w:rsidR="00DB5B67" w:rsidRPr="00A634EF" w:rsidRDefault="00DB5B67" w:rsidP="00DB5B67">
      <w:pPr>
        <w:spacing w:after="0" w:line="240" w:lineRule="auto"/>
        <w:rPr>
          <w:rFonts w:ascii="Arial" w:eastAsia="Arial" w:hAnsi="Arial" w:cs="Arial"/>
          <w:sz w:val="24"/>
          <w:szCs w:val="24"/>
          <w:lang w:val="en-US"/>
        </w:rPr>
      </w:pPr>
      <w:r w:rsidRPr="00DB5B67">
        <w:rPr>
          <w:rFonts w:ascii="Arial" w:eastAsia="Arial" w:hAnsi="Arial" w:cs="Arial"/>
          <w:sz w:val="24"/>
          <w:szCs w:val="24"/>
        </w:rPr>
        <w:lastRenderedPageBreak/>
        <w:t xml:space="preserve">MARTINS, A. P. Gamificação como ferramenta de motivação nas organizações. Periódico </w:t>
      </w:r>
      <w:proofErr w:type="spellStart"/>
      <w:r w:rsidRPr="00DB5B67">
        <w:rPr>
          <w:rFonts w:ascii="Arial" w:eastAsia="Arial" w:hAnsi="Arial" w:cs="Arial"/>
          <w:sz w:val="24"/>
          <w:szCs w:val="24"/>
        </w:rPr>
        <w:t>Rease</w:t>
      </w:r>
      <w:proofErr w:type="spellEnd"/>
      <w:r w:rsidRPr="00DB5B67">
        <w:rPr>
          <w:rFonts w:ascii="Arial" w:eastAsia="Arial" w:hAnsi="Arial" w:cs="Arial"/>
          <w:sz w:val="24"/>
          <w:szCs w:val="24"/>
        </w:rPr>
        <w:t xml:space="preserve">, 2022. Disponível em: https://periodicorease.pro.br/rease/article/view/7161. </w:t>
      </w:r>
      <w:proofErr w:type="spellStart"/>
      <w:r w:rsidRPr="00A634EF">
        <w:rPr>
          <w:rFonts w:ascii="Arial" w:eastAsia="Arial" w:hAnsi="Arial" w:cs="Arial"/>
          <w:sz w:val="24"/>
          <w:szCs w:val="24"/>
          <w:lang w:val="en-US"/>
        </w:rPr>
        <w:t>Acesso</w:t>
      </w:r>
      <w:proofErr w:type="spellEnd"/>
      <w:r w:rsidRPr="00A634EF">
        <w:rPr>
          <w:rFonts w:ascii="Arial" w:eastAsia="Arial" w:hAnsi="Arial" w:cs="Arial"/>
          <w:sz w:val="24"/>
          <w:szCs w:val="24"/>
          <w:lang w:val="en-US"/>
        </w:rPr>
        <w:t xml:space="preserve"> </w:t>
      </w:r>
      <w:proofErr w:type="spellStart"/>
      <w:r w:rsidRPr="00A634EF">
        <w:rPr>
          <w:rFonts w:ascii="Arial" w:eastAsia="Arial" w:hAnsi="Arial" w:cs="Arial"/>
          <w:sz w:val="24"/>
          <w:szCs w:val="24"/>
          <w:lang w:val="en-US"/>
        </w:rPr>
        <w:t>em</w:t>
      </w:r>
      <w:proofErr w:type="spellEnd"/>
      <w:r w:rsidRPr="00A634EF">
        <w:rPr>
          <w:rFonts w:ascii="Arial" w:eastAsia="Arial" w:hAnsi="Arial" w:cs="Arial"/>
          <w:sz w:val="24"/>
          <w:szCs w:val="24"/>
          <w:lang w:val="en-US"/>
        </w:rPr>
        <w:t xml:space="preserve">: 2 </w:t>
      </w:r>
      <w:proofErr w:type="spellStart"/>
      <w:r w:rsidRPr="00A634EF">
        <w:rPr>
          <w:rFonts w:ascii="Arial" w:eastAsia="Arial" w:hAnsi="Arial" w:cs="Arial"/>
          <w:sz w:val="24"/>
          <w:szCs w:val="24"/>
          <w:lang w:val="en-US"/>
        </w:rPr>
        <w:t>nov.</w:t>
      </w:r>
      <w:proofErr w:type="spellEnd"/>
      <w:r w:rsidRPr="00A634EF">
        <w:rPr>
          <w:rFonts w:ascii="Arial" w:eastAsia="Arial" w:hAnsi="Arial" w:cs="Arial"/>
          <w:sz w:val="24"/>
          <w:szCs w:val="24"/>
          <w:lang w:val="en-US"/>
        </w:rPr>
        <w:t xml:space="preserve"> 2025.</w:t>
      </w:r>
    </w:p>
    <w:p w14:paraId="1CBA7544" w14:textId="77777777" w:rsidR="00DB5B67" w:rsidRPr="00A634EF" w:rsidRDefault="00DB5B67" w:rsidP="00DB5B67">
      <w:pPr>
        <w:spacing w:after="0" w:line="240" w:lineRule="auto"/>
        <w:rPr>
          <w:rFonts w:ascii="Arial" w:eastAsia="Arial" w:hAnsi="Arial" w:cs="Arial"/>
          <w:sz w:val="24"/>
          <w:szCs w:val="24"/>
          <w:lang w:val="en-US"/>
        </w:rPr>
      </w:pPr>
    </w:p>
    <w:p w14:paraId="383168C7" w14:textId="77777777" w:rsidR="00DB5B67" w:rsidRPr="00A634EF" w:rsidRDefault="00DB5B67" w:rsidP="00DB5B67">
      <w:pPr>
        <w:spacing w:after="0" w:line="240" w:lineRule="auto"/>
        <w:rPr>
          <w:rFonts w:ascii="Arial" w:eastAsia="Arial" w:hAnsi="Arial" w:cs="Arial"/>
          <w:sz w:val="24"/>
          <w:szCs w:val="24"/>
          <w:lang w:val="en-US"/>
        </w:rPr>
      </w:pPr>
      <w:r w:rsidRPr="00A634EF">
        <w:rPr>
          <w:rFonts w:ascii="Arial" w:eastAsia="Arial" w:hAnsi="Arial" w:cs="Arial"/>
          <w:sz w:val="24"/>
          <w:szCs w:val="24"/>
          <w:lang w:val="en-US"/>
        </w:rPr>
        <w:t>MCCLELLAND, D. C. Human motivation. Cambridge: Cambridge University Press, 1987.</w:t>
      </w:r>
    </w:p>
    <w:p w14:paraId="5A8D612D" w14:textId="77777777" w:rsidR="00DB5B67" w:rsidRPr="00A634EF" w:rsidRDefault="00DB5B67" w:rsidP="00DB5B67">
      <w:pPr>
        <w:spacing w:after="0" w:line="240" w:lineRule="auto"/>
        <w:rPr>
          <w:rFonts w:ascii="Arial" w:eastAsia="Arial" w:hAnsi="Arial" w:cs="Arial"/>
          <w:sz w:val="24"/>
          <w:szCs w:val="24"/>
          <w:lang w:val="en-US"/>
        </w:rPr>
      </w:pPr>
    </w:p>
    <w:p w14:paraId="31692F3C" w14:textId="2A824346"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MOTA, C. D.; PENHA, R.; GONÇALVES, M. L. A relação entre a motivação e o engajamento no desempenho dos indivíduos nas equipes de projetos: uma revisão sistemática da literatura. Caderno de Administração, v. 2, n. 17, 2023. Disponível em: https://revistas.pucsp.br/index.php/caadm/article/view/63156. Acesso em: 2 nov. 2025.</w:t>
      </w:r>
    </w:p>
    <w:p w14:paraId="2B45CCF7" w14:textId="77777777" w:rsidR="00DB5B67" w:rsidRPr="00DB5B67" w:rsidRDefault="00DB5B67" w:rsidP="00DB5B67">
      <w:pPr>
        <w:spacing w:after="0" w:line="240" w:lineRule="auto"/>
        <w:rPr>
          <w:rFonts w:ascii="Arial" w:eastAsia="Arial" w:hAnsi="Arial" w:cs="Arial"/>
          <w:sz w:val="24"/>
          <w:szCs w:val="24"/>
        </w:rPr>
      </w:pPr>
    </w:p>
    <w:p w14:paraId="17A55128" w14:textId="3BE064A8"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OLIVEIRA, M. S. Um pessimista convicto na minha equipe: estilos de liderança e motivação. Revista Gestão Organizacional, 2021. Disponível em: https://bell.unochapeco.edu.br/revistas/index.php/rgo/article/view/5242. Acesso em: 2 nov. 2025.</w:t>
      </w:r>
    </w:p>
    <w:p w14:paraId="3C27187D" w14:textId="77777777" w:rsidR="00DB5B67" w:rsidRPr="00DB5B67" w:rsidRDefault="00DB5B67" w:rsidP="00DB5B67">
      <w:pPr>
        <w:spacing w:after="0" w:line="240" w:lineRule="auto"/>
        <w:rPr>
          <w:rFonts w:ascii="Arial" w:eastAsia="Arial" w:hAnsi="Arial" w:cs="Arial"/>
          <w:sz w:val="24"/>
          <w:szCs w:val="24"/>
        </w:rPr>
      </w:pPr>
    </w:p>
    <w:p w14:paraId="250062F5" w14:textId="5A4B2ABC"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PERIARD, Gustavo. A hierarquia de necessidades de Maslow – O que é e como funciona (Figura 1). Ministério dos Transportes, 2018. Disponível em: https://www.gov.br/transportes/pt-br/assuntos/portal-da-estrategia/artigos-gestao-estrategica/a-hierarquia-de-necessidades-de-maslow. Acesso em: 28 set. 2025.</w:t>
      </w:r>
    </w:p>
    <w:p w14:paraId="1AE12500" w14:textId="77777777" w:rsidR="00DB5B67" w:rsidRPr="00DB5B67" w:rsidRDefault="00DB5B67" w:rsidP="00DB5B67">
      <w:pPr>
        <w:spacing w:after="0" w:line="240" w:lineRule="auto"/>
        <w:rPr>
          <w:rFonts w:ascii="Arial" w:eastAsia="Arial" w:hAnsi="Arial" w:cs="Arial"/>
          <w:sz w:val="24"/>
          <w:szCs w:val="24"/>
        </w:rPr>
      </w:pPr>
    </w:p>
    <w:p w14:paraId="42F464FF" w14:textId="7933FBAE"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RIBEIRO, W. D.; MONTENEGRO, L. F. dos S.; NETO, M. V. de S. Gestão inovadora e dinâmica de projetos: uma abordagem sobre gamificação. Revista de Gestão e Projetos, v. 10, n. 2, 2019. DOI: https://doi.org/10.5585/gep.v10i2.11008.</w:t>
      </w:r>
    </w:p>
    <w:p w14:paraId="20852B4B" w14:textId="77777777" w:rsidR="00DB5B67" w:rsidRPr="00DB5B67" w:rsidRDefault="00DB5B67" w:rsidP="00DB5B67">
      <w:pPr>
        <w:spacing w:after="0" w:line="240" w:lineRule="auto"/>
        <w:rPr>
          <w:rFonts w:ascii="Arial" w:eastAsia="Arial" w:hAnsi="Arial" w:cs="Arial"/>
          <w:sz w:val="24"/>
          <w:szCs w:val="24"/>
        </w:rPr>
      </w:pPr>
    </w:p>
    <w:p w14:paraId="3600CE8F" w14:textId="4B221E85" w:rsidR="00DB5B67" w:rsidRPr="00DB5B67" w:rsidRDefault="00DB5B67" w:rsidP="00DB5B67">
      <w:pPr>
        <w:spacing w:after="0" w:line="240" w:lineRule="auto"/>
        <w:rPr>
          <w:rFonts w:ascii="Arial" w:eastAsia="Arial" w:hAnsi="Arial" w:cs="Arial"/>
          <w:sz w:val="24"/>
          <w:szCs w:val="24"/>
        </w:rPr>
      </w:pPr>
      <w:r w:rsidRPr="00DB5B67">
        <w:rPr>
          <w:rFonts w:ascii="Arial" w:eastAsia="Arial" w:hAnsi="Arial" w:cs="Arial"/>
          <w:sz w:val="24"/>
          <w:szCs w:val="24"/>
        </w:rPr>
        <w:t>SILVA, T. R.; COSTA, R. A. Gestão humana para organizações saudáveis. Anais do Congresso Internacional de Conhecimento e Inovação (CIKI), UFSC, 2022. Disponível em: https://proceeding.ciki.ufsc.br/index.php/ciki/article/view/1005. Acesso em: 2 nov. 2025.</w:t>
      </w:r>
    </w:p>
    <w:bookmarkEnd w:id="3"/>
    <w:p w14:paraId="3AC463E1" w14:textId="77777777" w:rsidR="00DB5B67" w:rsidRPr="00DB5B67" w:rsidRDefault="00DB5B67" w:rsidP="00A83964">
      <w:pPr>
        <w:spacing w:after="0" w:line="240" w:lineRule="auto"/>
        <w:rPr>
          <w:rFonts w:ascii="Arial" w:eastAsia="Arial" w:hAnsi="Arial" w:cs="Arial"/>
          <w:sz w:val="24"/>
          <w:szCs w:val="24"/>
        </w:rPr>
      </w:pPr>
    </w:p>
    <w:p w14:paraId="0AD972F4" w14:textId="19DBE0D8" w:rsidR="005525AC" w:rsidRPr="001C15B3" w:rsidRDefault="005525AC" w:rsidP="009F08C1">
      <w:pPr>
        <w:rPr>
          <w:rFonts w:ascii="Arial" w:eastAsia="Arial" w:hAnsi="Arial" w:cs="Arial"/>
          <w:color w:val="FF0000"/>
          <w:sz w:val="24"/>
          <w:szCs w:val="24"/>
        </w:rPr>
      </w:pPr>
      <w:r>
        <w:rPr>
          <w:rFonts w:ascii="Arial" w:eastAsia="Arial" w:hAnsi="Arial" w:cs="Arial"/>
          <w:color w:val="FF0000"/>
          <w:sz w:val="24"/>
          <w:szCs w:val="24"/>
        </w:rPr>
        <w:t xml:space="preserve"> </w:t>
      </w:r>
    </w:p>
    <w:sectPr w:rsidR="005525AC" w:rsidRPr="001C15B3">
      <w:headerReference w:type="default" r:id="rId13"/>
      <w:pgSz w:w="11900"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BB735" w14:textId="77777777" w:rsidR="002A277A" w:rsidRDefault="002A277A">
      <w:pPr>
        <w:spacing w:after="0" w:line="240" w:lineRule="auto"/>
      </w:pPr>
      <w:r>
        <w:separator/>
      </w:r>
    </w:p>
  </w:endnote>
  <w:endnote w:type="continuationSeparator" w:id="0">
    <w:p w14:paraId="28686FAC" w14:textId="77777777" w:rsidR="002A277A" w:rsidRDefault="002A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AB2D" w14:textId="77777777" w:rsidR="002A277A" w:rsidRDefault="002A277A">
      <w:pPr>
        <w:spacing w:after="0" w:line="240" w:lineRule="auto"/>
      </w:pPr>
      <w:r>
        <w:separator/>
      </w:r>
    </w:p>
  </w:footnote>
  <w:footnote w:type="continuationSeparator" w:id="0">
    <w:p w14:paraId="09628DA2" w14:textId="77777777" w:rsidR="002A277A" w:rsidRDefault="002A277A">
      <w:pPr>
        <w:spacing w:after="0" w:line="240" w:lineRule="auto"/>
      </w:pPr>
      <w:r>
        <w:continuationSeparator/>
      </w:r>
    </w:p>
  </w:footnote>
  <w:footnote w:id="1">
    <w:p w14:paraId="720470D6" w14:textId="317269DB" w:rsidR="00FE28DD" w:rsidRDefault="00FE28DD">
      <w:pPr>
        <w:pStyle w:val="Textodenotaderodap"/>
      </w:pPr>
      <w:r>
        <w:rPr>
          <w:rStyle w:val="Refdenotaderodap"/>
        </w:rPr>
        <w:footnoteRef/>
      </w:r>
      <w:r>
        <w:t xml:space="preserve"> Retirado de: </w:t>
      </w:r>
      <w:r w:rsidRPr="00FE28DD">
        <w:t>https://www.dicio.com.br/</w:t>
      </w:r>
      <w:r>
        <w:t xml:space="preserve"> </w:t>
      </w:r>
    </w:p>
  </w:footnote>
  <w:footnote w:id="2">
    <w:p w14:paraId="575E5278" w14:textId="3B0F2BF4" w:rsidR="00920588" w:rsidRDefault="00920588">
      <w:pPr>
        <w:pStyle w:val="Textodenotaderodap"/>
      </w:pPr>
      <w:r>
        <w:rPr>
          <w:rStyle w:val="Refdenotaderodap"/>
        </w:rPr>
        <w:footnoteRef/>
      </w:r>
      <w:r>
        <w:t xml:space="preserve"> Retirado de: </w:t>
      </w:r>
      <w:r w:rsidRPr="00920588">
        <w:t>googleacademico.com.br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A662" w14:textId="72653CA9" w:rsidR="005E57FB" w:rsidRDefault="00F5521B">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920588">
      <w:rPr>
        <w:rFonts w:ascii="Arial" w:eastAsia="Arial" w:hAnsi="Arial" w:cs="Arial"/>
        <w:noProof/>
        <w:color w:val="000000"/>
        <w:sz w:val="24"/>
        <w:szCs w:val="24"/>
      </w:rPr>
      <w:t>7</w:t>
    </w:r>
    <w:r>
      <w:rPr>
        <w:rFonts w:ascii="Arial" w:eastAsia="Arial" w:hAnsi="Arial" w:cs="Arial"/>
        <w:color w:val="000000"/>
        <w:sz w:val="24"/>
        <w:szCs w:val="24"/>
      </w:rPr>
      <w:fldChar w:fldCharType="end"/>
    </w:r>
  </w:p>
  <w:p w14:paraId="35DCB0B4" w14:textId="77777777" w:rsidR="005E57FB" w:rsidRDefault="005E57FB">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452A"/>
    <w:multiLevelType w:val="multilevel"/>
    <w:tmpl w:val="4EF4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C247E"/>
    <w:multiLevelType w:val="multilevel"/>
    <w:tmpl w:val="51F6D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F7281"/>
    <w:multiLevelType w:val="hybridMultilevel"/>
    <w:tmpl w:val="4E4664E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2E0B2465"/>
    <w:multiLevelType w:val="hybridMultilevel"/>
    <w:tmpl w:val="FE3A9F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8A1392A"/>
    <w:multiLevelType w:val="multilevel"/>
    <w:tmpl w:val="7E90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B7A86"/>
    <w:multiLevelType w:val="hybridMultilevel"/>
    <w:tmpl w:val="B10226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DCD7D1F"/>
    <w:multiLevelType w:val="multilevel"/>
    <w:tmpl w:val="AC36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3903307">
    <w:abstractNumId w:val="4"/>
  </w:num>
  <w:num w:numId="2" w16cid:durableId="401560912">
    <w:abstractNumId w:val="1"/>
  </w:num>
  <w:num w:numId="3" w16cid:durableId="1922175424">
    <w:abstractNumId w:val="6"/>
  </w:num>
  <w:num w:numId="4" w16cid:durableId="1440491592">
    <w:abstractNumId w:val="0"/>
  </w:num>
  <w:num w:numId="5" w16cid:durableId="1882091114">
    <w:abstractNumId w:val="2"/>
  </w:num>
  <w:num w:numId="6" w16cid:durableId="79065983">
    <w:abstractNumId w:val="3"/>
  </w:num>
  <w:num w:numId="7" w16cid:durableId="1254898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7FB"/>
    <w:rsid w:val="00006282"/>
    <w:rsid w:val="000370F4"/>
    <w:rsid w:val="000530E0"/>
    <w:rsid w:val="000571F7"/>
    <w:rsid w:val="000738BF"/>
    <w:rsid w:val="00076DB6"/>
    <w:rsid w:val="00081DC4"/>
    <w:rsid w:val="00084083"/>
    <w:rsid w:val="00094F3E"/>
    <w:rsid w:val="000A10F9"/>
    <w:rsid w:val="000C51B9"/>
    <w:rsid w:val="000D3481"/>
    <w:rsid w:val="000D7BDA"/>
    <w:rsid w:val="0013360F"/>
    <w:rsid w:val="00153871"/>
    <w:rsid w:val="00154CDE"/>
    <w:rsid w:val="00156FF0"/>
    <w:rsid w:val="00163BC6"/>
    <w:rsid w:val="001708BE"/>
    <w:rsid w:val="00173297"/>
    <w:rsid w:val="00183A40"/>
    <w:rsid w:val="0018733E"/>
    <w:rsid w:val="001B0B9E"/>
    <w:rsid w:val="001B1B7D"/>
    <w:rsid w:val="001C15B3"/>
    <w:rsid w:val="001C5CC7"/>
    <w:rsid w:val="001C6D37"/>
    <w:rsid w:val="001D0272"/>
    <w:rsid w:val="001D6C88"/>
    <w:rsid w:val="001F10B9"/>
    <w:rsid w:val="00206169"/>
    <w:rsid w:val="00217388"/>
    <w:rsid w:val="00256EC5"/>
    <w:rsid w:val="00264D33"/>
    <w:rsid w:val="00285D5D"/>
    <w:rsid w:val="002A277A"/>
    <w:rsid w:val="002A300D"/>
    <w:rsid w:val="002A3BCC"/>
    <w:rsid w:val="002E54D1"/>
    <w:rsid w:val="003066E1"/>
    <w:rsid w:val="0031423E"/>
    <w:rsid w:val="00340585"/>
    <w:rsid w:val="00342A2F"/>
    <w:rsid w:val="00343BEB"/>
    <w:rsid w:val="00351F1A"/>
    <w:rsid w:val="0037479E"/>
    <w:rsid w:val="00393F60"/>
    <w:rsid w:val="003C12A9"/>
    <w:rsid w:val="003E28A8"/>
    <w:rsid w:val="003E78A1"/>
    <w:rsid w:val="003F6C00"/>
    <w:rsid w:val="003F710C"/>
    <w:rsid w:val="00403D71"/>
    <w:rsid w:val="00432323"/>
    <w:rsid w:val="0043379F"/>
    <w:rsid w:val="00446E99"/>
    <w:rsid w:val="0045079A"/>
    <w:rsid w:val="00451B5A"/>
    <w:rsid w:val="00456C46"/>
    <w:rsid w:val="00473548"/>
    <w:rsid w:val="00477757"/>
    <w:rsid w:val="00496067"/>
    <w:rsid w:val="004C2E4F"/>
    <w:rsid w:val="004D0EE9"/>
    <w:rsid w:val="004D1B7F"/>
    <w:rsid w:val="004E7CDC"/>
    <w:rsid w:val="0052640E"/>
    <w:rsid w:val="0054651F"/>
    <w:rsid w:val="005525AC"/>
    <w:rsid w:val="00592E72"/>
    <w:rsid w:val="005978FD"/>
    <w:rsid w:val="005C7750"/>
    <w:rsid w:val="005D4B11"/>
    <w:rsid w:val="005E57FB"/>
    <w:rsid w:val="005E6ED2"/>
    <w:rsid w:val="005F21C3"/>
    <w:rsid w:val="00602962"/>
    <w:rsid w:val="00610C0C"/>
    <w:rsid w:val="006111C3"/>
    <w:rsid w:val="00616508"/>
    <w:rsid w:val="00624385"/>
    <w:rsid w:val="00624588"/>
    <w:rsid w:val="00625312"/>
    <w:rsid w:val="00637A67"/>
    <w:rsid w:val="006408B4"/>
    <w:rsid w:val="00664D49"/>
    <w:rsid w:val="00697405"/>
    <w:rsid w:val="006A29B9"/>
    <w:rsid w:val="006B33A8"/>
    <w:rsid w:val="006B340D"/>
    <w:rsid w:val="006B4169"/>
    <w:rsid w:val="006B748C"/>
    <w:rsid w:val="006C14D1"/>
    <w:rsid w:val="00710D1F"/>
    <w:rsid w:val="007375F0"/>
    <w:rsid w:val="00763301"/>
    <w:rsid w:val="00766321"/>
    <w:rsid w:val="007810F6"/>
    <w:rsid w:val="00793255"/>
    <w:rsid w:val="007B7359"/>
    <w:rsid w:val="007C6DE9"/>
    <w:rsid w:val="007D6F7B"/>
    <w:rsid w:val="00803098"/>
    <w:rsid w:val="00816A97"/>
    <w:rsid w:val="00844B34"/>
    <w:rsid w:val="00853777"/>
    <w:rsid w:val="00855643"/>
    <w:rsid w:val="008674BF"/>
    <w:rsid w:val="008761DC"/>
    <w:rsid w:val="008A163D"/>
    <w:rsid w:val="008C27FF"/>
    <w:rsid w:val="008C7ACE"/>
    <w:rsid w:val="008E0E95"/>
    <w:rsid w:val="008E576F"/>
    <w:rsid w:val="008F0DC1"/>
    <w:rsid w:val="008F0F73"/>
    <w:rsid w:val="00902E67"/>
    <w:rsid w:val="00905346"/>
    <w:rsid w:val="00907A3D"/>
    <w:rsid w:val="00912261"/>
    <w:rsid w:val="0091653A"/>
    <w:rsid w:val="00920588"/>
    <w:rsid w:val="00920CF9"/>
    <w:rsid w:val="009357E6"/>
    <w:rsid w:val="00947712"/>
    <w:rsid w:val="00991576"/>
    <w:rsid w:val="009925EB"/>
    <w:rsid w:val="009A0656"/>
    <w:rsid w:val="009B0E14"/>
    <w:rsid w:val="009B76B5"/>
    <w:rsid w:val="009C043B"/>
    <w:rsid w:val="009C3EE0"/>
    <w:rsid w:val="009D7759"/>
    <w:rsid w:val="009E26DD"/>
    <w:rsid w:val="009F08C1"/>
    <w:rsid w:val="009F5C4C"/>
    <w:rsid w:val="00A05A75"/>
    <w:rsid w:val="00A13FEA"/>
    <w:rsid w:val="00A232E4"/>
    <w:rsid w:val="00A24B23"/>
    <w:rsid w:val="00A340EA"/>
    <w:rsid w:val="00A45141"/>
    <w:rsid w:val="00A478DD"/>
    <w:rsid w:val="00A56079"/>
    <w:rsid w:val="00A634EF"/>
    <w:rsid w:val="00A65233"/>
    <w:rsid w:val="00A65D6E"/>
    <w:rsid w:val="00A83964"/>
    <w:rsid w:val="00AA21FA"/>
    <w:rsid w:val="00AD4B0B"/>
    <w:rsid w:val="00AE3A4A"/>
    <w:rsid w:val="00AF3EDC"/>
    <w:rsid w:val="00B04E58"/>
    <w:rsid w:val="00B16976"/>
    <w:rsid w:val="00B305C2"/>
    <w:rsid w:val="00B463E6"/>
    <w:rsid w:val="00B60A96"/>
    <w:rsid w:val="00B8064A"/>
    <w:rsid w:val="00B87AAC"/>
    <w:rsid w:val="00B95B8C"/>
    <w:rsid w:val="00BA22EC"/>
    <w:rsid w:val="00BB6B6E"/>
    <w:rsid w:val="00BC0540"/>
    <w:rsid w:val="00BC431C"/>
    <w:rsid w:val="00BF6D40"/>
    <w:rsid w:val="00C11B67"/>
    <w:rsid w:val="00C12B1D"/>
    <w:rsid w:val="00C426AD"/>
    <w:rsid w:val="00C5126D"/>
    <w:rsid w:val="00C56D10"/>
    <w:rsid w:val="00C60BB9"/>
    <w:rsid w:val="00C66EC9"/>
    <w:rsid w:val="00C705F1"/>
    <w:rsid w:val="00C764FA"/>
    <w:rsid w:val="00C905BF"/>
    <w:rsid w:val="00CA1881"/>
    <w:rsid w:val="00CA3624"/>
    <w:rsid w:val="00CA4E4E"/>
    <w:rsid w:val="00CB1F64"/>
    <w:rsid w:val="00CD09D5"/>
    <w:rsid w:val="00CF02CD"/>
    <w:rsid w:val="00D308E3"/>
    <w:rsid w:val="00D31298"/>
    <w:rsid w:val="00D32BD6"/>
    <w:rsid w:val="00D70248"/>
    <w:rsid w:val="00D72BC4"/>
    <w:rsid w:val="00D73F43"/>
    <w:rsid w:val="00D82926"/>
    <w:rsid w:val="00D92A54"/>
    <w:rsid w:val="00DA3594"/>
    <w:rsid w:val="00DA47C9"/>
    <w:rsid w:val="00DA798F"/>
    <w:rsid w:val="00DB5159"/>
    <w:rsid w:val="00DB5B67"/>
    <w:rsid w:val="00DC2E46"/>
    <w:rsid w:val="00DC6648"/>
    <w:rsid w:val="00DC74F6"/>
    <w:rsid w:val="00DD10A3"/>
    <w:rsid w:val="00DD36CE"/>
    <w:rsid w:val="00DD66D0"/>
    <w:rsid w:val="00DE14F4"/>
    <w:rsid w:val="00DE674B"/>
    <w:rsid w:val="00DF6A5C"/>
    <w:rsid w:val="00E00369"/>
    <w:rsid w:val="00E1327B"/>
    <w:rsid w:val="00E16F18"/>
    <w:rsid w:val="00E42CCD"/>
    <w:rsid w:val="00E50067"/>
    <w:rsid w:val="00E564DB"/>
    <w:rsid w:val="00E608D3"/>
    <w:rsid w:val="00E76DDE"/>
    <w:rsid w:val="00E95B9F"/>
    <w:rsid w:val="00EA697F"/>
    <w:rsid w:val="00EC7DB1"/>
    <w:rsid w:val="00ED4414"/>
    <w:rsid w:val="00ED54F3"/>
    <w:rsid w:val="00EE1202"/>
    <w:rsid w:val="00EF53AE"/>
    <w:rsid w:val="00F011FA"/>
    <w:rsid w:val="00F1155A"/>
    <w:rsid w:val="00F13384"/>
    <w:rsid w:val="00F26827"/>
    <w:rsid w:val="00F5521B"/>
    <w:rsid w:val="00F8477E"/>
    <w:rsid w:val="00FB79AF"/>
    <w:rsid w:val="00FC134D"/>
    <w:rsid w:val="00FC3FFF"/>
    <w:rsid w:val="00FC7F64"/>
    <w:rsid w:val="00FD1A7A"/>
    <w:rsid w:val="00FE28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B72E"/>
  <w15:docId w15:val="{A2FD9284-051D-40D0-96DC-5D015258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widowControl w:val="0"/>
      <w:spacing w:before="200" w:after="0" w:line="240" w:lineRule="auto"/>
      <w:outlineLvl w:val="1"/>
    </w:pPr>
    <w:rPr>
      <w:b/>
      <w:color w:val="5B9BD5"/>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sid w:val="00912261"/>
    <w:rPr>
      <w:color w:val="0000FF" w:themeColor="hyperlink"/>
      <w:u w:val="single"/>
    </w:rPr>
  </w:style>
  <w:style w:type="character" w:customStyle="1" w:styleId="MenoPendente1">
    <w:name w:val="Menção Pendente1"/>
    <w:basedOn w:val="Fontepargpadro"/>
    <w:uiPriority w:val="99"/>
    <w:semiHidden/>
    <w:unhideWhenUsed/>
    <w:rsid w:val="00912261"/>
    <w:rPr>
      <w:color w:val="605E5C"/>
      <w:shd w:val="clear" w:color="auto" w:fill="E1DFDD"/>
    </w:rPr>
  </w:style>
  <w:style w:type="paragraph" w:styleId="Textodenotaderodap">
    <w:name w:val="footnote text"/>
    <w:basedOn w:val="Normal"/>
    <w:link w:val="TextodenotaderodapChar"/>
    <w:uiPriority w:val="99"/>
    <w:semiHidden/>
    <w:unhideWhenUsed/>
    <w:rsid w:val="0034058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40585"/>
    <w:rPr>
      <w:sz w:val="20"/>
      <w:szCs w:val="20"/>
    </w:rPr>
  </w:style>
  <w:style w:type="character" w:styleId="Refdenotaderodap">
    <w:name w:val="footnote reference"/>
    <w:basedOn w:val="Fontepargpadro"/>
    <w:uiPriority w:val="99"/>
    <w:semiHidden/>
    <w:unhideWhenUsed/>
    <w:rsid w:val="00340585"/>
    <w:rPr>
      <w:vertAlign w:val="superscript"/>
    </w:rPr>
  </w:style>
  <w:style w:type="paragraph" w:styleId="Textodebalo">
    <w:name w:val="Balloon Text"/>
    <w:basedOn w:val="Normal"/>
    <w:link w:val="TextodebaloChar"/>
    <w:uiPriority w:val="99"/>
    <w:semiHidden/>
    <w:unhideWhenUsed/>
    <w:rsid w:val="00A24B2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24B23"/>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A24B23"/>
    <w:rPr>
      <w:b/>
      <w:bCs/>
    </w:rPr>
  </w:style>
  <w:style w:type="character" w:customStyle="1" w:styleId="AssuntodocomentrioChar">
    <w:name w:val="Assunto do comentário Char"/>
    <w:basedOn w:val="TextodecomentrioChar"/>
    <w:link w:val="Assuntodocomentrio"/>
    <w:uiPriority w:val="99"/>
    <w:semiHidden/>
    <w:rsid w:val="00A24B23"/>
    <w:rPr>
      <w:b/>
      <w:bCs/>
      <w:sz w:val="20"/>
      <w:szCs w:val="20"/>
    </w:rPr>
  </w:style>
  <w:style w:type="paragraph" w:styleId="PargrafodaLista">
    <w:name w:val="List Paragraph"/>
    <w:basedOn w:val="Normal"/>
    <w:uiPriority w:val="34"/>
    <w:qFormat/>
    <w:rsid w:val="00844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521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849BE423AD6F04F9C8D67444726753A" ma:contentTypeVersion="4" ma:contentTypeDescription="Crie um novo documento." ma:contentTypeScope="" ma:versionID="977db57119b5944e81a6132318f411da">
  <xsd:schema xmlns:xsd="http://www.w3.org/2001/XMLSchema" xmlns:xs="http://www.w3.org/2001/XMLSchema" xmlns:p="http://schemas.microsoft.com/office/2006/metadata/properties" xmlns:ns2="f78b0472-30f4-4663-b4cd-b110e22d6f93" targetNamespace="http://schemas.microsoft.com/office/2006/metadata/properties" ma:root="true" ma:fieldsID="dd79d5eb02d4997792398e01d040b8b1" ns2:_="">
    <xsd:import namespace="f78b0472-30f4-4663-b4cd-b110e22d6f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b0472-30f4-4663-b4cd-b110e22d6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E7217-6B26-4FFF-8DB9-F9F35A41F891}">
  <ds:schemaRefs>
    <ds:schemaRef ds:uri="http://schemas.openxmlformats.org/officeDocument/2006/bibliography"/>
  </ds:schemaRefs>
</ds:datastoreItem>
</file>

<file path=customXml/itemProps2.xml><?xml version="1.0" encoding="utf-8"?>
<ds:datastoreItem xmlns:ds="http://schemas.openxmlformats.org/officeDocument/2006/customXml" ds:itemID="{14E00051-2A8D-4E21-AAAA-B0EA03C168EE}">
  <ds:schemaRefs>
    <ds:schemaRef ds:uri="http://schemas.microsoft.com/sharepoint/v3/contenttype/forms"/>
  </ds:schemaRefs>
</ds:datastoreItem>
</file>

<file path=customXml/itemProps3.xml><?xml version="1.0" encoding="utf-8"?>
<ds:datastoreItem xmlns:ds="http://schemas.openxmlformats.org/officeDocument/2006/customXml" ds:itemID="{F5C75623-C233-4414-B073-33D5128F3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b0472-30f4-4663-b4cd-b110e22d6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A8A48-4021-4A20-9AD7-F42B94DD9E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16</Pages>
  <Words>4523</Words>
  <Characters>29219</Characters>
  <Application>Microsoft Office Word</Application>
  <DocSecurity>0</DocSecurity>
  <Lines>561</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Elisabete Novaes</dc:creator>
  <cp:keywords/>
  <dc:description/>
  <cp:lastModifiedBy>Gabriel Hidalgo | Brasil Salomão</cp:lastModifiedBy>
  <cp:revision>43</cp:revision>
  <dcterms:created xsi:type="dcterms:W3CDTF">2025-10-14T17:04:00Z</dcterms:created>
  <dcterms:modified xsi:type="dcterms:W3CDTF">2025-11-21T21:47:00Z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0x0101007849BE423AD6F04F9C8D67444726753A</vt:lpwstr>
  </property>
</Properties>
</file>