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DB478" w14:textId="77777777" w:rsidR="000C65EE" w:rsidRDefault="000C65EE" w:rsidP="00FF078E">
      <w:pPr>
        <w:jc w:val="center"/>
        <w:rPr>
          <w:color w:val="000000"/>
        </w:rPr>
      </w:pPr>
      <w:bookmarkStart w:id="0" w:name="_jqkr1vlmj2v2" w:colFirst="0" w:colLast="0"/>
      <w:bookmarkEnd w:id="0"/>
      <w:r>
        <w:rPr>
          <w:rFonts w:ascii="Arial" w:eastAsia="Arial" w:hAnsi="Arial" w:cs="Arial"/>
          <w:noProof/>
          <w:color w:val="000000"/>
        </w:rPr>
        <w:drawing>
          <wp:inline distT="0" distB="0" distL="0" distR="0" wp14:anchorId="31E72E99" wp14:editId="0CF36AFE">
            <wp:extent cx="2397079" cy="725116"/>
            <wp:effectExtent l="0" t="0" r="0" b="0"/>
            <wp:docPr id="9" name="image4.png" descr="Uma imagem contendo placar,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png" descr="Uma imagem contendo placar, desenho&#10;&#10;Descrição gerada automaticamente"/>
                    <pic:cNvPicPr preferRelativeResize="0"/>
                  </pic:nvPicPr>
                  <pic:blipFill>
                    <a:blip r:embed="rId8"/>
                    <a:srcRect/>
                    <a:stretch>
                      <a:fillRect/>
                    </a:stretch>
                  </pic:blipFill>
                  <pic:spPr>
                    <a:xfrm>
                      <a:off x="0" y="0"/>
                      <a:ext cx="2397079" cy="725116"/>
                    </a:xfrm>
                    <a:prstGeom prst="rect">
                      <a:avLst/>
                    </a:prstGeom>
                    <a:ln/>
                  </pic:spPr>
                </pic:pic>
              </a:graphicData>
            </a:graphic>
          </wp:inline>
        </w:drawing>
      </w:r>
    </w:p>
    <w:p w14:paraId="1AD11A57" w14:textId="77777777" w:rsidR="000C65EE" w:rsidRDefault="000C65EE" w:rsidP="000C65EE">
      <w:pPr>
        <w:pBdr>
          <w:top w:val="nil"/>
          <w:left w:val="nil"/>
          <w:bottom w:val="nil"/>
          <w:right w:val="nil"/>
          <w:between w:val="nil"/>
        </w:pBdr>
        <w:tabs>
          <w:tab w:val="center" w:pos="4252"/>
          <w:tab w:val="right" w:pos="8504"/>
        </w:tabs>
        <w:spacing w:after="0" w:line="240" w:lineRule="auto"/>
        <w:jc w:val="center"/>
        <w:rPr>
          <w:rFonts w:ascii="Arial" w:eastAsia="Arial" w:hAnsi="Arial" w:cs="Arial"/>
          <w:b/>
          <w:color w:val="000000"/>
        </w:rPr>
      </w:pPr>
    </w:p>
    <w:p w14:paraId="62EC3EAA" w14:textId="77777777" w:rsidR="000C65EE" w:rsidRDefault="000C65EE" w:rsidP="000C65EE">
      <w:pPr>
        <w:pBdr>
          <w:top w:val="nil"/>
          <w:left w:val="nil"/>
          <w:bottom w:val="nil"/>
          <w:right w:val="nil"/>
          <w:between w:val="nil"/>
        </w:pBdr>
        <w:tabs>
          <w:tab w:val="center" w:pos="4252"/>
          <w:tab w:val="right" w:pos="8504"/>
        </w:tabs>
        <w:spacing w:after="0" w:line="240" w:lineRule="auto"/>
        <w:jc w:val="center"/>
        <w:rPr>
          <w:rFonts w:ascii="Arial" w:eastAsia="Arial" w:hAnsi="Arial" w:cs="Arial"/>
          <w:b/>
          <w:sz w:val="24"/>
          <w:szCs w:val="24"/>
          <w:lang w:val="pt-BR"/>
        </w:rPr>
      </w:pPr>
      <w:r w:rsidRPr="00D90984">
        <w:rPr>
          <w:rFonts w:ascii="Arial" w:eastAsia="Arial" w:hAnsi="Arial" w:cs="Arial"/>
          <w:b/>
          <w:sz w:val="24"/>
          <w:szCs w:val="24"/>
          <w:lang w:val="pt-BR"/>
        </w:rPr>
        <w:t>FACULDADE METROPOLITANA DO ESTADO DE SÃO PAULO</w:t>
      </w:r>
    </w:p>
    <w:p w14:paraId="35532C97" w14:textId="77777777" w:rsidR="000136A6" w:rsidRDefault="000136A6" w:rsidP="000C65EE">
      <w:pPr>
        <w:pBdr>
          <w:top w:val="nil"/>
          <w:left w:val="nil"/>
          <w:bottom w:val="nil"/>
          <w:right w:val="nil"/>
          <w:between w:val="nil"/>
        </w:pBdr>
        <w:tabs>
          <w:tab w:val="center" w:pos="4252"/>
          <w:tab w:val="right" w:pos="8504"/>
        </w:tabs>
        <w:spacing w:after="0" w:line="240" w:lineRule="auto"/>
        <w:jc w:val="center"/>
        <w:rPr>
          <w:rFonts w:ascii="Arial" w:eastAsia="Arial" w:hAnsi="Arial" w:cs="Arial"/>
          <w:b/>
          <w:sz w:val="24"/>
          <w:szCs w:val="24"/>
          <w:lang w:val="pt-BR"/>
        </w:rPr>
      </w:pPr>
    </w:p>
    <w:p w14:paraId="02E90EA0" w14:textId="77777777" w:rsidR="000C65EE" w:rsidRPr="00D90984" w:rsidRDefault="000C65EE" w:rsidP="000C65EE">
      <w:pPr>
        <w:widowControl w:val="0"/>
        <w:spacing w:after="0" w:line="240" w:lineRule="auto"/>
        <w:jc w:val="center"/>
        <w:rPr>
          <w:rFonts w:ascii="Arial" w:eastAsia="Arial" w:hAnsi="Arial" w:cs="Arial"/>
          <w:b/>
          <w:sz w:val="24"/>
          <w:szCs w:val="24"/>
          <w:lang w:val="pt-BR"/>
        </w:rPr>
      </w:pPr>
    </w:p>
    <w:p w14:paraId="41E2B930" w14:textId="77777777" w:rsidR="000C65EE" w:rsidRDefault="000C65EE" w:rsidP="000C65EE">
      <w:pPr>
        <w:widowControl w:val="0"/>
        <w:spacing w:after="0" w:line="240" w:lineRule="auto"/>
        <w:jc w:val="center"/>
        <w:rPr>
          <w:rFonts w:ascii="Arial" w:eastAsia="Arial" w:hAnsi="Arial" w:cs="Arial"/>
          <w:b/>
          <w:sz w:val="24"/>
          <w:szCs w:val="24"/>
          <w:lang w:val="pt-BR"/>
        </w:rPr>
      </w:pPr>
      <w:r w:rsidRPr="00D90984">
        <w:rPr>
          <w:rFonts w:ascii="Arial" w:eastAsia="Arial" w:hAnsi="Arial" w:cs="Arial"/>
          <w:b/>
          <w:sz w:val="24"/>
          <w:szCs w:val="24"/>
          <w:lang w:val="pt-BR"/>
        </w:rPr>
        <w:t>GRADUAÇÃO EM ADMINISTRAÇÃO</w:t>
      </w:r>
    </w:p>
    <w:p w14:paraId="60BCDDC8" w14:textId="77777777" w:rsidR="000136A6" w:rsidRDefault="000136A6" w:rsidP="000C65EE">
      <w:pPr>
        <w:widowControl w:val="0"/>
        <w:spacing w:after="0" w:line="240" w:lineRule="auto"/>
        <w:jc w:val="center"/>
        <w:rPr>
          <w:rFonts w:ascii="Arial" w:eastAsia="Arial" w:hAnsi="Arial" w:cs="Arial"/>
          <w:b/>
          <w:sz w:val="24"/>
          <w:szCs w:val="24"/>
          <w:lang w:val="pt-BR"/>
        </w:rPr>
      </w:pPr>
    </w:p>
    <w:p w14:paraId="66B6AC5F" w14:textId="77777777" w:rsidR="000136A6" w:rsidRDefault="000136A6" w:rsidP="000C65EE">
      <w:pPr>
        <w:widowControl w:val="0"/>
        <w:spacing w:after="0" w:line="240" w:lineRule="auto"/>
        <w:jc w:val="center"/>
        <w:rPr>
          <w:rFonts w:ascii="Arial" w:eastAsia="Arial" w:hAnsi="Arial" w:cs="Arial"/>
          <w:b/>
          <w:sz w:val="24"/>
          <w:szCs w:val="24"/>
          <w:lang w:val="pt-BR"/>
        </w:rPr>
      </w:pPr>
    </w:p>
    <w:p w14:paraId="08FFB772" w14:textId="77777777" w:rsidR="000136A6" w:rsidRDefault="000136A6" w:rsidP="000C65EE">
      <w:pPr>
        <w:widowControl w:val="0"/>
        <w:spacing w:after="0" w:line="240" w:lineRule="auto"/>
        <w:jc w:val="center"/>
        <w:rPr>
          <w:rFonts w:ascii="Arial" w:eastAsia="Arial" w:hAnsi="Arial" w:cs="Arial"/>
          <w:b/>
          <w:sz w:val="24"/>
          <w:szCs w:val="24"/>
          <w:lang w:val="pt-BR"/>
        </w:rPr>
      </w:pPr>
    </w:p>
    <w:p w14:paraId="7082631A" w14:textId="77777777" w:rsidR="000C65EE" w:rsidRDefault="000C65EE" w:rsidP="000136A6">
      <w:pPr>
        <w:spacing w:line="360" w:lineRule="auto"/>
        <w:jc w:val="center"/>
        <w:rPr>
          <w:rFonts w:ascii="Arial" w:hAnsi="Arial" w:cs="Arial"/>
          <w:b/>
          <w:sz w:val="24"/>
          <w:lang w:val="pt-BR"/>
        </w:rPr>
      </w:pPr>
      <w:r w:rsidRPr="00021E9E">
        <w:rPr>
          <w:rFonts w:ascii="Arial" w:hAnsi="Arial" w:cs="Arial"/>
          <w:b/>
          <w:sz w:val="24"/>
          <w:lang w:val="pt-BR"/>
        </w:rPr>
        <w:t>PLANEJAMENTO FINANCEIRO PESSOAL E A LEI DO SUPERENDIVIDAMENTO: O PROCESSO DE REPACTUAÇÃO DE DÍVIDAS</w:t>
      </w:r>
    </w:p>
    <w:p w14:paraId="365A59A1" w14:textId="77777777" w:rsidR="000C65EE" w:rsidRDefault="000C65EE" w:rsidP="000C65EE">
      <w:pPr>
        <w:spacing w:after="0" w:line="240" w:lineRule="auto"/>
        <w:jc w:val="right"/>
        <w:rPr>
          <w:rFonts w:ascii="Arial" w:hAnsi="Arial" w:cs="Arial"/>
          <w:b/>
          <w:color w:val="EE0000"/>
          <w:sz w:val="24"/>
          <w:lang w:val="pt-BR"/>
        </w:rPr>
      </w:pPr>
    </w:p>
    <w:p w14:paraId="7192FF7D" w14:textId="77777777" w:rsidR="000136A6" w:rsidRDefault="000136A6" w:rsidP="000C65EE">
      <w:pPr>
        <w:spacing w:after="0" w:line="240" w:lineRule="auto"/>
        <w:jc w:val="right"/>
        <w:rPr>
          <w:rFonts w:ascii="Arial" w:hAnsi="Arial" w:cs="Arial"/>
          <w:b/>
          <w:sz w:val="24"/>
          <w:lang w:val="pt-BR"/>
        </w:rPr>
      </w:pPr>
    </w:p>
    <w:p w14:paraId="2F6051BA" w14:textId="77777777" w:rsidR="000136A6" w:rsidRDefault="000136A6" w:rsidP="000C65EE">
      <w:pPr>
        <w:spacing w:after="0" w:line="240" w:lineRule="auto"/>
        <w:jc w:val="right"/>
        <w:rPr>
          <w:rFonts w:ascii="Arial" w:hAnsi="Arial" w:cs="Arial"/>
          <w:b/>
          <w:sz w:val="24"/>
          <w:lang w:val="pt-BR"/>
        </w:rPr>
      </w:pPr>
    </w:p>
    <w:p w14:paraId="1D2C1507" w14:textId="77777777" w:rsidR="000136A6" w:rsidRDefault="000136A6" w:rsidP="000C65EE">
      <w:pPr>
        <w:spacing w:after="0" w:line="240" w:lineRule="auto"/>
        <w:jc w:val="right"/>
        <w:rPr>
          <w:rFonts w:ascii="Arial" w:hAnsi="Arial" w:cs="Arial"/>
          <w:b/>
          <w:sz w:val="24"/>
          <w:lang w:val="pt-BR"/>
        </w:rPr>
      </w:pPr>
    </w:p>
    <w:p w14:paraId="5B0390AA" w14:textId="71D63282" w:rsidR="006F6B2B" w:rsidRPr="00A31A1F" w:rsidRDefault="000C65EE" w:rsidP="000136A6">
      <w:pPr>
        <w:spacing w:after="0" w:line="360" w:lineRule="auto"/>
        <w:jc w:val="right"/>
        <w:rPr>
          <w:rFonts w:ascii="Arial" w:hAnsi="Arial" w:cs="Arial"/>
          <w:b/>
          <w:sz w:val="24"/>
          <w:lang w:val="pt-BR"/>
        </w:rPr>
      </w:pPr>
      <w:r w:rsidRPr="00A31A1F">
        <w:rPr>
          <w:rFonts w:ascii="Arial" w:hAnsi="Arial" w:cs="Arial"/>
          <w:b/>
          <w:sz w:val="24"/>
          <w:lang w:val="pt-BR"/>
        </w:rPr>
        <w:t>Claudio Domingos Fernandes Filho</w:t>
      </w:r>
    </w:p>
    <w:p w14:paraId="415C9852" w14:textId="5FF81360" w:rsidR="00A31A1F" w:rsidRPr="00A31A1F" w:rsidRDefault="00A31A1F" w:rsidP="000136A6">
      <w:pPr>
        <w:spacing w:after="0" w:line="360" w:lineRule="auto"/>
        <w:jc w:val="right"/>
        <w:rPr>
          <w:rFonts w:ascii="Arial" w:hAnsi="Arial" w:cs="Arial"/>
          <w:b/>
          <w:sz w:val="24"/>
          <w:lang w:val="pt-BR"/>
        </w:rPr>
      </w:pPr>
      <w:r w:rsidRPr="00A31A1F">
        <w:rPr>
          <w:rFonts w:ascii="Arial" w:hAnsi="Arial" w:cs="Arial"/>
          <w:b/>
          <w:sz w:val="24"/>
          <w:lang w:val="pt-BR"/>
        </w:rPr>
        <w:t>Hygor Flores Bordignon</w:t>
      </w:r>
    </w:p>
    <w:p w14:paraId="2390A336" w14:textId="448B7688" w:rsidR="000C65EE" w:rsidRPr="00A31A1F" w:rsidRDefault="000C65EE" w:rsidP="000136A6">
      <w:pPr>
        <w:spacing w:after="0" w:line="360" w:lineRule="auto"/>
        <w:jc w:val="right"/>
        <w:rPr>
          <w:rFonts w:ascii="Arial" w:hAnsi="Arial" w:cs="Arial"/>
          <w:b/>
          <w:sz w:val="24"/>
          <w:lang w:val="pt-BR"/>
        </w:rPr>
      </w:pPr>
      <w:r w:rsidRPr="00A31A1F">
        <w:rPr>
          <w:rFonts w:ascii="Arial" w:hAnsi="Arial" w:cs="Arial"/>
          <w:b/>
          <w:sz w:val="24"/>
          <w:lang w:val="pt-BR"/>
        </w:rPr>
        <w:t>Orientador: Prof. Isabela</w:t>
      </w:r>
    </w:p>
    <w:p w14:paraId="3C100606" w14:textId="77777777" w:rsidR="000A3CBF" w:rsidRDefault="000A3CBF" w:rsidP="000C65EE">
      <w:pPr>
        <w:jc w:val="right"/>
        <w:rPr>
          <w:rFonts w:ascii="Arial" w:hAnsi="Arial" w:cs="Arial"/>
          <w:b/>
          <w:sz w:val="24"/>
          <w:lang w:val="pt-BR"/>
        </w:rPr>
      </w:pPr>
    </w:p>
    <w:p w14:paraId="118EA401" w14:textId="77777777" w:rsidR="00F74B36" w:rsidRPr="00FF078E" w:rsidRDefault="00FB4EDD" w:rsidP="00FF078E">
      <w:pPr>
        <w:spacing w:line="240" w:lineRule="auto"/>
        <w:jc w:val="center"/>
        <w:rPr>
          <w:rFonts w:ascii="Arial" w:hAnsi="Arial" w:cs="Arial"/>
          <w:b/>
          <w:sz w:val="24"/>
          <w:szCs w:val="24"/>
          <w:lang w:val="pt-BR"/>
        </w:rPr>
      </w:pPr>
      <w:r w:rsidRPr="00FF078E">
        <w:rPr>
          <w:rFonts w:ascii="Arial" w:hAnsi="Arial" w:cs="Arial"/>
          <w:b/>
          <w:sz w:val="24"/>
          <w:szCs w:val="24"/>
          <w:lang w:val="pt-BR"/>
        </w:rPr>
        <w:t>RESUMO</w:t>
      </w:r>
    </w:p>
    <w:p w14:paraId="6124B96F" w14:textId="77777777" w:rsidR="00E04239" w:rsidRPr="00FF078E" w:rsidRDefault="000136A6" w:rsidP="00FF078E">
      <w:pPr>
        <w:spacing w:line="240" w:lineRule="auto"/>
        <w:jc w:val="both"/>
        <w:rPr>
          <w:rFonts w:ascii="Arial" w:eastAsia="Times New Roman" w:hAnsi="Arial" w:cs="Arial"/>
          <w:sz w:val="24"/>
          <w:szCs w:val="24"/>
          <w:lang w:val="pt-BR"/>
        </w:rPr>
      </w:pPr>
      <w:r w:rsidRPr="00FF078E">
        <w:rPr>
          <w:rFonts w:ascii="Arial" w:eastAsia="Times New Roman" w:hAnsi="Arial" w:cs="Arial"/>
          <w:sz w:val="24"/>
          <w:szCs w:val="24"/>
          <w:lang w:val="pt-BR"/>
        </w:rPr>
        <w:t xml:space="preserve">O superendividamento é um problema crescente no Brasil, associado ao fácil acesso ao crédito e à falta de planejamento financeiro. A Lei nº 14.181/2021 surge como instrumento de proteção ao consumidor, oferecendo mecanismos de prevenção e renegociação de dívidas. Este trabalho analisa a relação entre o planejamento financeiro pessoal e o enfrentamento do superendividamento, considerando de que forma a legislação pode auxiliar na reorganização das finanças familiares. A pesquisa, baseada em revisão bibliográfica e questionário exploratório, identifica hábitos de consumo, níveis de endividamento e conhecimento sobre instrumentos legais de repactuação. Os resultados evidenciam carência de informação </w:t>
      </w:r>
      <w:r w:rsidR="00F606CB" w:rsidRPr="00FF078E">
        <w:rPr>
          <w:rFonts w:ascii="Arial" w:eastAsia="Times New Roman" w:hAnsi="Arial" w:cs="Arial"/>
          <w:sz w:val="24"/>
          <w:szCs w:val="24"/>
          <w:lang w:val="pt-BR"/>
        </w:rPr>
        <w:t xml:space="preserve">quanto </w:t>
      </w:r>
      <w:r w:rsidR="00547CD0" w:rsidRPr="00FF078E">
        <w:rPr>
          <w:rFonts w:ascii="Arial" w:eastAsia="Times New Roman" w:hAnsi="Arial" w:cs="Arial"/>
          <w:sz w:val="24"/>
          <w:szCs w:val="24"/>
          <w:lang w:val="pt-BR"/>
        </w:rPr>
        <w:t>à</w:t>
      </w:r>
      <w:r w:rsidR="00F606CB" w:rsidRPr="00FF078E">
        <w:rPr>
          <w:rFonts w:ascii="Arial" w:eastAsia="Times New Roman" w:hAnsi="Arial" w:cs="Arial"/>
          <w:sz w:val="24"/>
          <w:szCs w:val="24"/>
          <w:lang w:val="pt-BR"/>
        </w:rPr>
        <w:t xml:space="preserve"> </w:t>
      </w:r>
      <w:r w:rsidR="00547CD0" w:rsidRPr="00FF078E">
        <w:rPr>
          <w:rFonts w:ascii="Arial" w:eastAsia="Times New Roman" w:hAnsi="Arial" w:cs="Arial"/>
          <w:sz w:val="24"/>
          <w:szCs w:val="24"/>
          <w:lang w:val="pt-BR"/>
        </w:rPr>
        <w:t>margem segura de comprometimento de renda</w:t>
      </w:r>
      <w:r w:rsidR="00F606CB" w:rsidRPr="00FF078E">
        <w:rPr>
          <w:rFonts w:ascii="Arial" w:eastAsia="Times New Roman" w:hAnsi="Arial" w:cs="Arial"/>
          <w:sz w:val="24"/>
          <w:szCs w:val="24"/>
          <w:lang w:val="pt-BR"/>
        </w:rPr>
        <w:t xml:space="preserve"> </w:t>
      </w:r>
      <w:r w:rsidRPr="00FF078E">
        <w:rPr>
          <w:rFonts w:ascii="Arial" w:eastAsia="Times New Roman" w:hAnsi="Arial" w:cs="Arial"/>
          <w:sz w:val="24"/>
          <w:szCs w:val="24"/>
          <w:lang w:val="pt-BR"/>
        </w:rPr>
        <w:t xml:space="preserve">e </w:t>
      </w:r>
      <w:r w:rsidR="00547CD0" w:rsidRPr="00FF078E">
        <w:rPr>
          <w:rFonts w:ascii="Arial" w:eastAsia="Times New Roman" w:hAnsi="Arial" w:cs="Arial"/>
          <w:sz w:val="24"/>
          <w:szCs w:val="24"/>
          <w:lang w:val="pt-BR"/>
        </w:rPr>
        <w:t>mecanismos de renegociação</w:t>
      </w:r>
      <w:r w:rsidRPr="00FF078E">
        <w:rPr>
          <w:rFonts w:ascii="Arial" w:eastAsia="Times New Roman" w:hAnsi="Arial" w:cs="Arial"/>
          <w:sz w:val="24"/>
          <w:szCs w:val="24"/>
          <w:lang w:val="pt-BR"/>
        </w:rPr>
        <w:t>. Conclui-se que o planejamento consciente é a medida mais eficaz de prevenção, enquanto a Lei nº 14.181/2021 atua como recurso de reorganização e proteção.</w:t>
      </w:r>
      <w:r w:rsidR="00FB0048" w:rsidRPr="00FF078E">
        <w:rPr>
          <w:rFonts w:ascii="Arial" w:eastAsia="Times New Roman" w:hAnsi="Arial" w:cs="Arial"/>
          <w:sz w:val="24"/>
          <w:szCs w:val="24"/>
          <w:lang w:val="pt-BR"/>
        </w:rPr>
        <w:t xml:space="preserve"> </w:t>
      </w:r>
      <w:r w:rsidR="00297B32" w:rsidRPr="00FF078E">
        <w:rPr>
          <w:rFonts w:ascii="Arial" w:eastAsia="Times New Roman" w:hAnsi="Arial" w:cs="Arial"/>
          <w:sz w:val="24"/>
          <w:szCs w:val="24"/>
          <w:lang w:val="pt-BR"/>
        </w:rPr>
        <w:t>A principal contribuição deste estudo está em aprofundar a compreensão teórica sobre o superendividamento, além de evidenciar como o plan</w:t>
      </w:r>
      <w:r w:rsidR="00547CD0" w:rsidRPr="00FF078E">
        <w:rPr>
          <w:rFonts w:ascii="Arial" w:eastAsia="Times New Roman" w:hAnsi="Arial" w:cs="Arial"/>
          <w:sz w:val="24"/>
          <w:szCs w:val="24"/>
          <w:lang w:val="pt-BR"/>
        </w:rPr>
        <w:t>ejamento aliado à</w:t>
      </w:r>
      <w:r w:rsidR="00297B32" w:rsidRPr="00FF078E">
        <w:rPr>
          <w:rFonts w:ascii="Arial" w:eastAsia="Times New Roman" w:hAnsi="Arial" w:cs="Arial"/>
          <w:sz w:val="24"/>
          <w:szCs w:val="24"/>
          <w:lang w:val="pt-BR"/>
        </w:rPr>
        <w:t xml:space="preserve"> mecanismos de renegociação previstos na Lei nº 14.181/2021 podem auxiliar na </w:t>
      </w:r>
      <w:r w:rsidR="00547CD0" w:rsidRPr="00FF078E">
        <w:rPr>
          <w:rFonts w:ascii="Arial" w:eastAsia="Times New Roman" w:hAnsi="Arial" w:cs="Arial"/>
          <w:sz w:val="24"/>
          <w:szCs w:val="24"/>
          <w:lang w:val="pt-BR"/>
        </w:rPr>
        <w:t xml:space="preserve">prevenção e </w:t>
      </w:r>
      <w:r w:rsidR="00297B32" w:rsidRPr="00FF078E">
        <w:rPr>
          <w:rFonts w:ascii="Arial" w:eastAsia="Times New Roman" w:hAnsi="Arial" w:cs="Arial"/>
          <w:sz w:val="24"/>
          <w:szCs w:val="24"/>
          <w:lang w:val="pt-BR"/>
        </w:rPr>
        <w:t>superação do superendividamento. Este trabalho também contribui ao revelar</w:t>
      </w:r>
      <w:r w:rsidR="00547CD0" w:rsidRPr="00FF078E">
        <w:rPr>
          <w:rFonts w:ascii="Arial" w:eastAsia="Times New Roman" w:hAnsi="Arial" w:cs="Arial"/>
          <w:sz w:val="24"/>
          <w:szCs w:val="24"/>
          <w:lang w:val="pt-BR"/>
        </w:rPr>
        <w:t xml:space="preserve"> padrões nos</w:t>
      </w:r>
      <w:r w:rsidR="00297B32" w:rsidRPr="00FF078E">
        <w:rPr>
          <w:rFonts w:ascii="Arial" w:eastAsia="Times New Roman" w:hAnsi="Arial" w:cs="Arial"/>
          <w:sz w:val="24"/>
          <w:szCs w:val="24"/>
          <w:lang w:val="pt-BR"/>
        </w:rPr>
        <w:t xml:space="preserve"> hábitos de consumo e o nível de conhecimento dos participantes sobre os instrumentos legais de repactuação, oferecendo subsídios para futuras pesquisas e práticas educativas nesta área.</w:t>
      </w:r>
    </w:p>
    <w:p w14:paraId="2D4CBA1E" w14:textId="58EAD1FB" w:rsidR="00F74B36" w:rsidRPr="00FF078E" w:rsidRDefault="000136A6" w:rsidP="00FF078E">
      <w:pPr>
        <w:spacing w:line="240" w:lineRule="auto"/>
        <w:jc w:val="both"/>
        <w:rPr>
          <w:rFonts w:ascii="Arial" w:hAnsi="Arial" w:cs="Arial"/>
          <w:sz w:val="24"/>
          <w:szCs w:val="24"/>
          <w:lang w:val="pt-BR"/>
        </w:rPr>
      </w:pPr>
      <w:r w:rsidRPr="00FF078E">
        <w:rPr>
          <w:rFonts w:ascii="Arial" w:eastAsia="Times New Roman" w:hAnsi="Arial" w:cs="Arial"/>
          <w:b/>
          <w:bCs/>
          <w:sz w:val="24"/>
          <w:szCs w:val="24"/>
          <w:lang w:val="pt-BR"/>
        </w:rPr>
        <w:t>Palavras-chave:</w:t>
      </w:r>
      <w:r w:rsidRPr="00FF078E">
        <w:rPr>
          <w:rFonts w:ascii="Arial" w:eastAsia="Times New Roman" w:hAnsi="Arial" w:cs="Arial"/>
          <w:sz w:val="24"/>
          <w:szCs w:val="24"/>
          <w:lang w:val="pt-BR"/>
        </w:rPr>
        <w:t> Planejamento financeiro. Superendividamento. Orçamento familiar. Lei nº 14.181/2021.</w:t>
      </w:r>
      <w:r w:rsidR="00F74B36" w:rsidRPr="00FF078E">
        <w:rPr>
          <w:rFonts w:ascii="Arial" w:hAnsi="Arial" w:cs="Arial"/>
          <w:sz w:val="24"/>
          <w:szCs w:val="24"/>
          <w:lang w:val="pt-BR"/>
        </w:rPr>
        <w:t xml:space="preserve"> Repactuação de dívidas.</w:t>
      </w:r>
    </w:p>
    <w:p w14:paraId="3D0D98F3" w14:textId="0F52438A" w:rsidR="00F74B36" w:rsidRPr="00FF078E" w:rsidRDefault="00F74B36" w:rsidP="00FF078E">
      <w:pPr>
        <w:spacing w:line="240" w:lineRule="auto"/>
        <w:jc w:val="center"/>
        <w:rPr>
          <w:rFonts w:ascii="Arial" w:hAnsi="Arial" w:cs="Arial"/>
          <w:b/>
          <w:sz w:val="24"/>
          <w:szCs w:val="24"/>
        </w:rPr>
      </w:pPr>
      <w:r w:rsidRPr="00FF078E">
        <w:rPr>
          <w:rFonts w:ascii="Arial" w:hAnsi="Arial" w:cs="Arial"/>
          <w:b/>
          <w:sz w:val="24"/>
          <w:szCs w:val="24"/>
        </w:rPr>
        <w:lastRenderedPageBreak/>
        <w:t>ABSTRACT</w:t>
      </w:r>
    </w:p>
    <w:p w14:paraId="2180042F" w14:textId="2B51B576" w:rsidR="00C36738" w:rsidRPr="00FF078E" w:rsidRDefault="00C36738" w:rsidP="00FF078E">
      <w:pPr>
        <w:spacing w:line="240" w:lineRule="auto"/>
        <w:jc w:val="both"/>
        <w:rPr>
          <w:rFonts w:ascii="Arial" w:hAnsi="Arial" w:cs="Arial"/>
          <w:sz w:val="24"/>
          <w:szCs w:val="24"/>
        </w:rPr>
      </w:pPr>
      <w:r w:rsidRPr="00FF078E">
        <w:rPr>
          <w:rFonts w:ascii="Arial" w:hAnsi="Arial" w:cs="Arial"/>
          <w:sz w:val="24"/>
          <w:szCs w:val="24"/>
        </w:rPr>
        <w:t>Overindebtedness is a growing problem in Brazil, associated with easy access to credit and a lack of financial planning. Law No. 14,181/2021 emerges as a consumer protection instrument, offering mechanisms for debt prevention and renegotiation. This study analyzes the relationship between personal financial planning and addressing overindebtedness, considering how legislation can assist in reorganizing family finances. The research, based on a literature review and an exploratory questionnaire, identifies consumption habits, levels of indebtedness, and knowledge about legal instruments for debt renegotiation. The results highlight a lack of information regarding the safe margin of income commitment and renegotiation mechanisms. It is concluded that conscious financial planning is the most effective preventive measure, while Law No. 14,181/2021 acts as a resource for reorganization and protection. The main contribution of this study lies in deepening the theoretical understanding of overindebtedness, as well as highlighting how financial planning combined with the renegotiation mechanisms provided by Law No. 14,181/2021 can assist in the prevention and overcoming of overindebtedness. This work also contributes by revealing patterns in consumption habits and participants’ level of knowledge about the legal instruments for debt renegotiation, providing support for future research and educational practices in this area.</w:t>
      </w:r>
    </w:p>
    <w:p w14:paraId="77C1FBDF" w14:textId="4748C0FB" w:rsidR="00E04239" w:rsidRDefault="00F74B36" w:rsidP="00FF078E">
      <w:pPr>
        <w:spacing w:line="240" w:lineRule="auto"/>
        <w:ind w:firstLine="567"/>
        <w:jc w:val="both"/>
        <w:rPr>
          <w:rFonts w:ascii="Arial" w:hAnsi="Arial" w:cs="Arial"/>
          <w:sz w:val="24"/>
          <w:szCs w:val="24"/>
        </w:rPr>
      </w:pPr>
      <w:r w:rsidRPr="00FF078E">
        <w:rPr>
          <w:rFonts w:ascii="Arial" w:hAnsi="Arial" w:cs="Arial"/>
          <w:b/>
          <w:bCs/>
          <w:sz w:val="24"/>
          <w:szCs w:val="24"/>
        </w:rPr>
        <w:t>Keywords:</w:t>
      </w:r>
      <w:r w:rsidRPr="00FF078E">
        <w:rPr>
          <w:rFonts w:ascii="Arial" w:hAnsi="Arial" w:cs="Arial"/>
          <w:sz w:val="24"/>
          <w:szCs w:val="24"/>
        </w:rPr>
        <w:t> Financial planning. Over-indebtedness. Household budget. Law No. 14.181/2021.</w:t>
      </w:r>
    </w:p>
    <w:p w14:paraId="4D202BA2" w14:textId="77777777" w:rsidR="00FF078E" w:rsidRPr="00FF078E" w:rsidRDefault="00FF078E" w:rsidP="00FF078E">
      <w:pPr>
        <w:spacing w:line="240" w:lineRule="auto"/>
        <w:ind w:firstLine="567"/>
        <w:jc w:val="both"/>
        <w:rPr>
          <w:rFonts w:ascii="Arial" w:hAnsi="Arial" w:cs="Arial"/>
          <w:sz w:val="24"/>
          <w:szCs w:val="24"/>
        </w:rPr>
      </w:pPr>
    </w:p>
    <w:p w14:paraId="4B4D6A85" w14:textId="09C30EFE" w:rsidR="006F6B2B" w:rsidRPr="00B56680" w:rsidRDefault="00762D09" w:rsidP="009F7F75">
      <w:pPr>
        <w:pStyle w:val="Ttulo1"/>
      </w:pPr>
      <w:bookmarkStart w:id="1" w:name="_Toc209795839"/>
      <w:r w:rsidRPr="00B56680">
        <w:rPr>
          <w:color w:val="auto"/>
        </w:rPr>
        <w:t>INTRODUÇÃ</w:t>
      </w:r>
      <w:r w:rsidR="00FB4EDD" w:rsidRPr="00B56680">
        <w:rPr>
          <w:color w:val="auto"/>
        </w:rPr>
        <w:t>O</w:t>
      </w:r>
      <w:bookmarkEnd w:id="1"/>
      <w:r w:rsidR="002812D4" w:rsidRPr="00B56680">
        <w:tab/>
      </w:r>
      <w:r w:rsidR="002812D4" w:rsidRPr="00B56680">
        <w:tab/>
      </w:r>
    </w:p>
    <w:p w14:paraId="6D607733" w14:textId="77777777" w:rsidR="00762D09" w:rsidRPr="00762D09" w:rsidRDefault="00762D09" w:rsidP="00762D09">
      <w:pPr>
        <w:spacing w:afterLines="70" w:after="168" w:line="360" w:lineRule="auto"/>
        <w:ind w:firstLine="708"/>
        <w:jc w:val="both"/>
        <w:rPr>
          <w:rFonts w:ascii="Arial" w:eastAsia="Calibri" w:hAnsi="Arial" w:cs="Times New Roman"/>
          <w:sz w:val="24"/>
          <w:lang w:val="pt-BR"/>
        </w:rPr>
      </w:pPr>
      <w:r w:rsidRPr="00762D09">
        <w:rPr>
          <w:rFonts w:ascii="Arial" w:eastAsia="Calibri" w:hAnsi="Arial" w:cs="Times New Roman"/>
          <w:sz w:val="24"/>
          <w:lang w:val="pt-BR"/>
        </w:rPr>
        <w:t xml:space="preserve">O planejamento financeiro pessoal desempenha um papel crucial na organização econômica dos indivíduos e famílias. Em um cenário de fácil acesso ao crédito e de estímulo constante ao consumo, muitos brasileiros enfrentam dificuldades para manter um orçamento equilibrado, o que frequentemente os conduz à inadimplência e, em casos mais graves, ao superendividamento. Esse fenômeno não apenas compromete a capacidade de pagamento das famílias, mas também repercute em sua qualidade de vida, saúde mental e inserção social. </w:t>
      </w:r>
    </w:p>
    <w:p w14:paraId="28C9D53E" w14:textId="77777777" w:rsidR="00762D09" w:rsidRDefault="00762D09" w:rsidP="00762D09">
      <w:pPr>
        <w:spacing w:afterLines="70" w:after="168" w:line="360" w:lineRule="auto"/>
        <w:ind w:firstLine="708"/>
        <w:jc w:val="both"/>
        <w:rPr>
          <w:rFonts w:ascii="Arial" w:eastAsia="Calibri" w:hAnsi="Arial" w:cs="Times New Roman"/>
          <w:sz w:val="24"/>
          <w:lang w:val="pt-BR"/>
        </w:rPr>
      </w:pPr>
      <w:r w:rsidRPr="00762D09">
        <w:rPr>
          <w:rFonts w:ascii="Arial" w:eastAsia="Calibri" w:hAnsi="Arial" w:cs="Times New Roman"/>
          <w:sz w:val="24"/>
          <w:lang w:val="pt-BR"/>
        </w:rPr>
        <w:t xml:space="preserve">O contexto brasileiro, marcado pela expansão do crédito ao consumidor nas últimas décadas, tornou o acesso a financiamentos, cartões de crédito e empréstimos mais democrático, porém também mais arriscado. Segundo o Banco Central do Brasil (2023), o endividamento das famílias alcançou patamares alarmantes, refletindo a necessidade de medidas eficazes para educação financeira e regulação do crédito. Tal realidade evidencia que a ausência de planejamento financeiro e o consumo desordenado agravam a vulnerabilidade econômica da população. </w:t>
      </w:r>
    </w:p>
    <w:p w14:paraId="2D5EF988" w14:textId="77777777" w:rsidR="00627691" w:rsidRDefault="00762D09" w:rsidP="00762D09">
      <w:pPr>
        <w:spacing w:afterLines="70" w:after="168" w:line="360" w:lineRule="auto"/>
        <w:ind w:firstLine="708"/>
        <w:jc w:val="both"/>
        <w:rPr>
          <w:rFonts w:ascii="Arial" w:eastAsia="Calibri" w:hAnsi="Arial" w:cs="Times New Roman"/>
          <w:sz w:val="24"/>
          <w:lang w:val="pt-BR"/>
        </w:rPr>
      </w:pPr>
      <w:r w:rsidRPr="00F74939">
        <w:rPr>
          <w:rFonts w:ascii="Arial" w:eastAsia="Calibri" w:hAnsi="Arial" w:cs="Times New Roman"/>
          <w:sz w:val="24"/>
          <w:lang w:val="pt-BR"/>
        </w:rPr>
        <w:lastRenderedPageBreak/>
        <w:t>Nesse cenário, a Lei nº 14.181/2021, conhecida como Lei do Superendividamento,</w:t>
      </w:r>
      <w:r w:rsidR="00AE7D9E" w:rsidRPr="00F74939">
        <w:rPr>
          <w:rFonts w:ascii="Arial" w:eastAsia="Calibri" w:hAnsi="Arial" w:cs="Times New Roman"/>
          <w:sz w:val="24"/>
          <w:lang w:val="pt-BR"/>
        </w:rPr>
        <w:t xml:space="preserve"> define que o superendividamento ocorre quando o consumidor não consegue, de forma regular, quitar todas as suas dívidas sem comprometer seu mínimo existencial</w:t>
      </w:r>
      <w:r w:rsidR="00AE7D9E">
        <w:rPr>
          <w:rFonts w:ascii="Arial" w:eastAsia="Calibri" w:hAnsi="Arial" w:cs="Times New Roman"/>
          <w:color w:val="548DD4" w:themeColor="text2" w:themeTint="99"/>
          <w:sz w:val="24"/>
          <w:lang w:val="pt-BR"/>
        </w:rPr>
        <w:t xml:space="preserve">. </w:t>
      </w:r>
      <w:r w:rsidR="00AE7D9E" w:rsidRPr="00AE7D9E">
        <w:rPr>
          <w:rFonts w:ascii="Arial" w:eastAsia="Calibri" w:hAnsi="Arial" w:cs="Times New Roman"/>
          <w:sz w:val="24"/>
          <w:lang w:val="pt-BR"/>
        </w:rPr>
        <w:t xml:space="preserve">A lei </w:t>
      </w:r>
      <w:r w:rsidRPr="00762D09">
        <w:rPr>
          <w:rFonts w:ascii="Arial" w:eastAsia="Calibri" w:hAnsi="Arial" w:cs="Times New Roman"/>
          <w:sz w:val="24"/>
          <w:lang w:val="pt-BR"/>
        </w:rPr>
        <w:t>surge como um marco regulatório ao introduzir mecanismos para renegociação de dívidas e proporcionar condições mais justas e equilibradas para consumidores em situação crítica</w:t>
      </w:r>
      <w:r w:rsidR="00AE7D9E">
        <w:rPr>
          <w:rFonts w:ascii="Arial" w:eastAsia="Calibri" w:hAnsi="Arial" w:cs="Times New Roman"/>
          <w:sz w:val="24"/>
          <w:lang w:val="pt-BR"/>
        </w:rPr>
        <w:t>, buscando</w:t>
      </w:r>
      <w:r w:rsidRPr="00762D09">
        <w:rPr>
          <w:rFonts w:ascii="Arial" w:eastAsia="Calibri" w:hAnsi="Arial" w:cs="Times New Roman"/>
          <w:sz w:val="24"/>
          <w:lang w:val="pt-BR"/>
        </w:rPr>
        <w:t xml:space="preserve"> além de resguardar o mínimo existencial do indivíduo, promover maior transparência na concessão de crédito e fomentar práticas de consumo responsável.</w:t>
      </w:r>
      <w:r w:rsidR="00627691">
        <w:rPr>
          <w:rFonts w:ascii="Arial" w:eastAsia="Calibri" w:hAnsi="Arial" w:cs="Times New Roman"/>
          <w:sz w:val="24"/>
          <w:lang w:val="pt-BR"/>
        </w:rPr>
        <w:t xml:space="preserve"> </w:t>
      </w:r>
    </w:p>
    <w:p w14:paraId="2B883CE1" w14:textId="7C445CA5" w:rsidR="00762D09" w:rsidRPr="00762D09" w:rsidRDefault="000E2142" w:rsidP="00762D09">
      <w:pPr>
        <w:spacing w:afterLines="70" w:after="168" w:line="360" w:lineRule="auto"/>
        <w:ind w:firstLine="708"/>
        <w:jc w:val="both"/>
        <w:rPr>
          <w:rFonts w:ascii="Arial" w:eastAsia="Calibri" w:hAnsi="Arial" w:cs="Times New Roman"/>
          <w:sz w:val="24"/>
          <w:lang w:val="pt-BR"/>
        </w:rPr>
      </w:pPr>
      <w:r w:rsidRPr="00F74939">
        <w:rPr>
          <w:rFonts w:ascii="Arial" w:eastAsia="Calibri" w:hAnsi="Arial" w:cs="Times New Roman"/>
          <w:sz w:val="24"/>
          <w:lang w:val="pt-BR"/>
        </w:rPr>
        <w:t xml:space="preserve">Segundo </w:t>
      </w:r>
      <w:r w:rsidRPr="005F025E">
        <w:rPr>
          <w:rFonts w:ascii="Arial" w:eastAsia="Calibri" w:hAnsi="Arial" w:cs="Times New Roman"/>
          <w:sz w:val="24"/>
          <w:lang w:val="pt-BR"/>
        </w:rPr>
        <w:t>Martins e D’Aquino (</w:t>
      </w:r>
      <w:r w:rsidR="000D42D1">
        <w:rPr>
          <w:rFonts w:ascii="Arial" w:eastAsia="Calibri" w:hAnsi="Arial" w:cs="Times New Roman"/>
          <w:sz w:val="24"/>
          <w:lang w:val="pt-BR"/>
        </w:rPr>
        <w:t>2022</w:t>
      </w:r>
      <w:r w:rsidRPr="005F025E">
        <w:rPr>
          <w:rFonts w:ascii="Arial" w:eastAsia="Calibri" w:hAnsi="Arial" w:cs="Times New Roman"/>
          <w:sz w:val="24"/>
          <w:lang w:val="pt-BR"/>
        </w:rPr>
        <w:t>),</w:t>
      </w:r>
      <w:r w:rsidRPr="00F74939">
        <w:rPr>
          <w:rFonts w:ascii="Arial" w:eastAsia="Calibri" w:hAnsi="Arial" w:cs="Times New Roman"/>
          <w:sz w:val="24"/>
          <w:lang w:val="pt-BR"/>
        </w:rPr>
        <w:t xml:space="preserve"> a prática de assédio ao consumidor é considerada um novo tipo de dano, aplicável não apenas na oferta de crédito, mas em todos os produtos e serviços. </w:t>
      </w:r>
      <w:r w:rsidR="00762D09" w:rsidRPr="00762D09">
        <w:rPr>
          <w:rFonts w:ascii="Arial" w:eastAsia="Calibri" w:hAnsi="Arial" w:cs="Times New Roman"/>
          <w:sz w:val="24"/>
          <w:lang w:val="pt-BR"/>
        </w:rPr>
        <w:t xml:space="preserve">O presente trabalho tem como propósito investigar a relevância do planejamento financeiro na prevenção do superendividamento e avaliar os impactos da referida legislação na repactuação de dívidas, com foco em analisar como o uso consciente do crédito, aliado a instrumentos jurídicos de proteção, pode contribuir para a estabilidade financeira das famílias brasileiras. Dessa forma, pretende-se compreender os princípios do planejamento financeiro e sua relação com a estabilidade econômica, examinar estratégias de renegociação de dívidas previstas na lei vigente e refletir sobre a importância da educação financeira como política pública preventiva. </w:t>
      </w:r>
    </w:p>
    <w:p w14:paraId="24943FC2" w14:textId="77777777" w:rsidR="00762D09" w:rsidRPr="00762D09" w:rsidRDefault="00762D09" w:rsidP="00762D09">
      <w:pPr>
        <w:spacing w:afterLines="70" w:after="168" w:line="360" w:lineRule="auto"/>
        <w:ind w:firstLine="708"/>
        <w:jc w:val="both"/>
        <w:rPr>
          <w:rFonts w:ascii="Arial" w:eastAsia="Calibri" w:hAnsi="Arial" w:cs="Times New Roman"/>
          <w:sz w:val="24"/>
          <w:lang w:val="pt-BR"/>
        </w:rPr>
      </w:pPr>
      <w:r w:rsidRPr="00762D09">
        <w:rPr>
          <w:rFonts w:ascii="Arial" w:eastAsia="Calibri" w:hAnsi="Arial" w:cs="Times New Roman"/>
          <w:sz w:val="24"/>
          <w:lang w:val="pt-BR"/>
        </w:rPr>
        <w:t xml:space="preserve">Em suma, o superendividamento configura-se como um problema crescente no Brasil, afetando diretamente a vida de milhões de famílias. Dados da Confederação Nacional do Comércio (CNC, 2023) indicam que mais de 70% das famílias brasileiras se encontram endividadas, reforçando a urgência de políticas estruturadas que integrem educação financeira, regulação do crédito e mecanismos legais de proteção. Assim, este estudo justifica-se pela necessidade de compreender a interface entre gestão financeira pessoal e legislação consumerista, oferecendo uma análise crítica sobre os caminhos possíveis para a superação do endividamento excessivo. </w:t>
      </w:r>
    </w:p>
    <w:p w14:paraId="1CBB935D" w14:textId="77777777" w:rsidR="00762D09" w:rsidRPr="00762D09" w:rsidRDefault="00762D09" w:rsidP="00762D09">
      <w:pPr>
        <w:spacing w:afterLines="70" w:after="168" w:line="360" w:lineRule="auto"/>
        <w:ind w:firstLine="708"/>
        <w:jc w:val="both"/>
        <w:rPr>
          <w:rFonts w:ascii="Arial" w:eastAsia="Calibri" w:hAnsi="Arial" w:cs="Times New Roman"/>
          <w:sz w:val="24"/>
          <w:lang w:val="pt-BR"/>
        </w:rPr>
      </w:pPr>
      <w:r w:rsidRPr="00762D09">
        <w:rPr>
          <w:rFonts w:ascii="Arial" w:eastAsia="Calibri" w:hAnsi="Arial" w:cs="Times New Roman"/>
          <w:sz w:val="24"/>
          <w:lang w:val="pt-BR"/>
        </w:rPr>
        <w:t xml:space="preserve">Segundo o Banco Central do Brasil (2023), o endividamento das famílias alcançou patamares alarmantes, refletindo a necessidade de medidas eficazes para educação financeira e regulação do crédito. Tal realidade evidencia que a ausência </w:t>
      </w:r>
      <w:r w:rsidRPr="00762D09">
        <w:rPr>
          <w:rFonts w:ascii="Arial" w:eastAsia="Calibri" w:hAnsi="Arial" w:cs="Times New Roman"/>
          <w:sz w:val="24"/>
          <w:lang w:val="pt-BR"/>
        </w:rPr>
        <w:lastRenderedPageBreak/>
        <w:t xml:space="preserve">de planejamento financeiro e o consumo desordenado agravam a vulnerabilidade econômica da população. </w:t>
      </w:r>
    </w:p>
    <w:p w14:paraId="63110816" w14:textId="77777777" w:rsidR="00762D09" w:rsidRPr="00762D09" w:rsidRDefault="00762D09" w:rsidP="00762D09">
      <w:pPr>
        <w:spacing w:afterLines="70" w:after="168" w:line="360" w:lineRule="auto"/>
        <w:ind w:firstLine="708"/>
        <w:jc w:val="both"/>
        <w:rPr>
          <w:rFonts w:ascii="Arial" w:eastAsia="Calibri" w:hAnsi="Arial" w:cs="Times New Roman"/>
          <w:sz w:val="24"/>
          <w:lang w:val="pt-BR"/>
        </w:rPr>
      </w:pPr>
      <w:r w:rsidRPr="00762D09">
        <w:rPr>
          <w:rFonts w:ascii="Arial" w:eastAsia="Calibri" w:hAnsi="Arial" w:cs="Times New Roman"/>
          <w:sz w:val="24"/>
          <w:lang w:val="pt-BR"/>
        </w:rPr>
        <w:t xml:space="preserve">A escolha deste tema surge da observação de que o superendividamento é uma realidade crescente no Brasil, afetando milhões de famílias e comprometendo não apenas a economia doméstica, mas também a qualidade de vida e a dignidade do consumidor. Conhecer e compreender os fatores que levam ao endividamento excessivo podem auxiliar na prevenção e na reorganização financeira das pessoas. </w:t>
      </w:r>
    </w:p>
    <w:p w14:paraId="1F7021C4" w14:textId="77777777" w:rsidR="00762D09" w:rsidRPr="00762D09" w:rsidRDefault="00762D09" w:rsidP="00762D09">
      <w:pPr>
        <w:spacing w:afterLines="70" w:after="168" w:line="360" w:lineRule="auto"/>
        <w:ind w:firstLine="708"/>
        <w:jc w:val="both"/>
        <w:rPr>
          <w:rFonts w:ascii="Arial" w:eastAsia="Calibri" w:hAnsi="Arial" w:cs="Times New Roman"/>
          <w:sz w:val="24"/>
          <w:lang w:val="pt-BR"/>
        </w:rPr>
      </w:pPr>
      <w:r w:rsidRPr="00762D09">
        <w:rPr>
          <w:rFonts w:ascii="Arial" w:eastAsia="Calibri" w:hAnsi="Arial" w:cs="Times New Roman"/>
          <w:sz w:val="24"/>
          <w:lang w:val="pt-BR"/>
        </w:rPr>
        <w:t xml:space="preserve">O planejamento financeiro pessoal é uma temática de grande relevância na sociedade contemporânea, onde a gestão eficaz das finanças individuais desempenha um papel crucial para a estabilidade econômica e o bem-estar dos cidadãos. Este estudo busca compreender como o planejamento financeiro pessoal pode ajudar a prevenir dívidas excessivas e como a Lei nº 14.181/2021, ao prever medidas de renegociação que respeitam o mínimo existencial do consumidor, pode apoiar aqueles que já se encontram endividados ou em risco. </w:t>
      </w:r>
    </w:p>
    <w:p w14:paraId="3DB408AD" w14:textId="048A724A" w:rsidR="00762D09" w:rsidRPr="00762D09" w:rsidRDefault="00762D09" w:rsidP="00762D09">
      <w:pPr>
        <w:spacing w:afterLines="70" w:after="168" w:line="360" w:lineRule="auto"/>
        <w:ind w:firstLine="708"/>
        <w:jc w:val="both"/>
        <w:rPr>
          <w:rFonts w:ascii="Arial" w:eastAsia="Calibri" w:hAnsi="Arial" w:cs="Times New Roman"/>
          <w:sz w:val="24"/>
          <w:lang w:val="pt-BR"/>
        </w:rPr>
      </w:pPr>
      <w:r w:rsidRPr="00762D09">
        <w:rPr>
          <w:rFonts w:ascii="Arial" w:eastAsia="Calibri" w:hAnsi="Arial" w:cs="Times New Roman"/>
          <w:sz w:val="24"/>
          <w:lang w:val="pt-BR"/>
        </w:rPr>
        <w:t>A pesquisa se apoia em revisão bibliográfica sobre finanças pessoais, educação financeira e legislação consumerista, complementada por ques</w:t>
      </w:r>
      <w:r>
        <w:rPr>
          <w:rFonts w:ascii="Arial" w:eastAsia="Calibri" w:hAnsi="Arial" w:cs="Times New Roman"/>
          <w:sz w:val="24"/>
          <w:lang w:val="pt-BR"/>
        </w:rPr>
        <w:t>tionário exploratório aplicado à</w:t>
      </w:r>
      <w:r w:rsidRPr="00762D09">
        <w:rPr>
          <w:rFonts w:ascii="Arial" w:eastAsia="Calibri" w:hAnsi="Arial" w:cs="Times New Roman"/>
          <w:sz w:val="24"/>
          <w:lang w:val="pt-BR"/>
        </w:rPr>
        <w:t xml:space="preserve"> participantes em ambientes de trabalho e acadêmicos, com o objetivo de identificar hábitos de consumo, níveis de endividamento e conhecimento sobre os i</w:t>
      </w:r>
      <w:r w:rsidR="006D6A4C">
        <w:rPr>
          <w:rFonts w:ascii="Arial" w:eastAsia="Calibri" w:hAnsi="Arial" w:cs="Times New Roman"/>
          <w:sz w:val="24"/>
          <w:lang w:val="pt-BR"/>
        </w:rPr>
        <w:t>nstrumentos legais de proteção com o objetivo de a</w:t>
      </w:r>
      <w:r w:rsidRPr="00762D09">
        <w:rPr>
          <w:rFonts w:ascii="Arial" w:eastAsia="Calibri" w:hAnsi="Arial" w:cs="Times New Roman"/>
          <w:sz w:val="24"/>
          <w:lang w:val="pt-BR"/>
        </w:rPr>
        <w:t xml:space="preserve">nalisar o impacto da Lei do Superendividamento no planejamento financeiro pessoal e sua relação com o processo de repactuação de dívidas </w:t>
      </w:r>
      <w:r w:rsidR="006D6A4C">
        <w:rPr>
          <w:rFonts w:ascii="Arial" w:eastAsia="Calibri" w:hAnsi="Arial" w:cs="Times New Roman"/>
          <w:sz w:val="24"/>
          <w:lang w:val="pt-BR"/>
        </w:rPr>
        <w:t>e e</w:t>
      </w:r>
      <w:r w:rsidRPr="00762D09">
        <w:rPr>
          <w:rFonts w:ascii="Arial" w:eastAsia="Calibri" w:hAnsi="Arial" w:cs="Times New Roman"/>
          <w:sz w:val="24"/>
          <w:lang w:val="pt-BR"/>
        </w:rPr>
        <w:t>ntender teoricamente o conceito de superendividamento e sua relação com o planejamento financeiro pessoal</w:t>
      </w:r>
      <w:r w:rsidR="006D6A4C">
        <w:rPr>
          <w:rFonts w:ascii="Arial" w:eastAsia="Calibri" w:hAnsi="Arial" w:cs="Times New Roman"/>
          <w:sz w:val="24"/>
          <w:lang w:val="pt-BR"/>
        </w:rPr>
        <w:t>,</w:t>
      </w:r>
      <w:r w:rsidRPr="00762D09">
        <w:rPr>
          <w:rFonts w:ascii="Arial" w:eastAsia="Calibri" w:hAnsi="Arial" w:cs="Times New Roman"/>
          <w:sz w:val="24"/>
          <w:lang w:val="pt-BR"/>
        </w:rPr>
        <w:t xml:space="preserve"> </w:t>
      </w:r>
      <w:r w:rsidR="006D6A4C">
        <w:rPr>
          <w:rFonts w:ascii="Arial" w:eastAsia="Calibri" w:hAnsi="Arial" w:cs="Times New Roman"/>
          <w:sz w:val="24"/>
          <w:lang w:val="pt-BR"/>
        </w:rPr>
        <w:t>analisando</w:t>
      </w:r>
      <w:r w:rsidRPr="00762D09">
        <w:rPr>
          <w:rFonts w:ascii="Arial" w:eastAsia="Calibri" w:hAnsi="Arial" w:cs="Times New Roman"/>
          <w:sz w:val="24"/>
          <w:lang w:val="pt-BR"/>
        </w:rPr>
        <w:t xml:space="preserve"> a relação entre planejamento financeiro e </w:t>
      </w:r>
      <w:r w:rsidR="006D6A4C">
        <w:rPr>
          <w:rFonts w:ascii="Arial" w:eastAsia="Calibri" w:hAnsi="Arial" w:cs="Times New Roman"/>
          <w:sz w:val="24"/>
          <w:lang w:val="pt-BR"/>
        </w:rPr>
        <w:t>estabilidade econômica familiar</w:t>
      </w:r>
      <w:r w:rsidRPr="00762D09">
        <w:rPr>
          <w:rFonts w:ascii="Arial" w:eastAsia="Calibri" w:hAnsi="Arial" w:cs="Times New Roman"/>
          <w:sz w:val="24"/>
          <w:lang w:val="pt-BR"/>
        </w:rPr>
        <w:t xml:space="preserve"> </w:t>
      </w:r>
      <w:r w:rsidR="006D6A4C">
        <w:rPr>
          <w:rFonts w:ascii="Arial" w:eastAsia="Calibri" w:hAnsi="Arial" w:cs="Times New Roman"/>
          <w:sz w:val="24"/>
          <w:lang w:val="pt-BR"/>
        </w:rPr>
        <w:t xml:space="preserve">por meio da </w:t>
      </w:r>
      <w:r w:rsidRPr="00762D09">
        <w:rPr>
          <w:rFonts w:ascii="Arial" w:eastAsia="Calibri" w:hAnsi="Arial" w:cs="Times New Roman"/>
          <w:sz w:val="24"/>
          <w:lang w:val="pt-BR"/>
        </w:rPr>
        <w:t>investig</w:t>
      </w:r>
      <w:r w:rsidR="006D6A4C">
        <w:rPr>
          <w:rFonts w:ascii="Arial" w:eastAsia="Calibri" w:hAnsi="Arial" w:cs="Times New Roman"/>
          <w:sz w:val="24"/>
          <w:lang w:val="pt-BR"/>
        </w:rPr>
        <w:t>ação d</w:t>
      </w:r>
      <w:r w:rsidRPr="00762D09">
        <w:rPr>
          <w:rFonts w:ascii="Arial" w:eastAsia="Calibri" w:hAnsi="Arial" w:cs="Times New Roman"/>
          <w:sz w:val="24"/>
          <w:lang w:val="pt-BR"/>
        </w:rPr>
        <w:t>os mecanismos de prevenção e renegociação de dívidas previstos na Lei nº 14.181/2021</w:t>
      </w:r>
      <w:r w:rsidR="006D6A4C">
        <w:rPr>
          <w:rFonts w:ascii="Arial" w:eastAsia="Calibri" w:hAnsi="Arial" w:cs="Times New Roman"/>
          <w:sz w:val="24"/>
          <w:lang w:val="pt-BR"/>
        </w:rPr>
        <w:t>, i</w:t>
      </w:r>
      <w:r w:rsidRPr="00762D09">
        <w:rPr>
          <w:rFonts w:ascii="Arial" w:eastAsia="Calibri" w:hAnsi="Arial" w:cs="Times New Roman"/>
          <w:sz w:val="24"/>
          <w:lang w:val="pt-BR"/>
        </w:rPr>
        <w:t>dentifica</w:t>
      </w:r>
      <w:r w:rsidR="006D6A4C">
        <w:rPr>
          <w:rFonts w:ascii="Arial" w:eastAsia="Calibri" w:hAnsi="Arial" w:cs="Times New Roman"/>
          <w:sz w:val="24"/>
          <w:lang w:val="pt-BR"/>
        </w:rPr>
        <w:t>ndo</w:t>
      </w:r>
      <w:r w:rsidRPr="00762D09">
        <w:rPr>
          <w:rFonts w:ascii="Arial" w:eastAsia="Calibri" w:hAnsi="Arial" w:cs="Times New Roman"/>
          <w:sz w:val="24"/>
          <w:lang w:val="pt-BR"/>
        </w:rPr>
        <w:t xml:space="preserve"> hábitos de consumo e o nível de conhecimento dos participantes sobre os instrumentos legais de repactuação. </w:t>
      </w:r>
    </w:p>
    <w:p w14:paraId="59018184" w14:textId="7D1B546A" w:rsidR="00762D09" w:rsidRPr="00D96E2E" w:rsidRDefault="00D96E2E" w:rsidP="00762D09">
      <w:pPr>
        <w:spacing w:afterLines="70" w:after="168" w:line="360" w:lineRule="auto"/>
        <w:ind w:firstLine="708"/>
        <w:jc w:val="both"/>
        <w:rPr>
          <w:rFonts w:asciiTheme="majorHAnsi" w:eastAsia="Calibri" w:hAnsiTheme="majorHAnsi" w:cstheme="majorHAnsi"/>
          <w:b/>
          <w:sz w:val="28"/>
          <w:lang w:val="pt-BR"/>
        </w:rPr>
      </w:pPr>
      <w:r>
        <w:rPr>
          <w:rFonts w:ascii="Arial" w:eastAsia="Calibri" w:hAnsi="Arial" w:cs="Times New Roman"/>
          <w:sz w:val="24"/>
          <w:lang w:val="pt-BR"/>
        </w:rPr>
        <w:br/>
      </w:r>
      <w:r>
        <w:rPr>
          <w:rFonts w:asciiTheme="majorHAnsi" w:eastAsia="Calibri" w:hAnsiTheme="majorHAnsi" w:cstheme="majorHAnsi"/>
          <w:b/>
          <w:sz w:val="28"/>
          <w:lang w:val="pt-BR"/>
        </w:rPr>
        <w:t>1. REFERENCIAL TEÓRICO</w:t>
      </w:r>
    </w:p>
    <w:p w14:paraId="21219A3A" w14:textId="070F329C" w:rsidR="006F6B2B" w:rsidRPr="00627691" w:rsidRDefault="006D6A4C" w:rsidP="00627691">
      <w:pPr>
        <w:pStyle w:val="PargrafodaLista"/>
        <w:numPr>
          <w:ilvl w:val="1"/>
          <w:numId w:val="10"/>
        </w:numPr>
        <w:spacing w:line="360" w:lineRule="auto"/>
        <w:jc w:val="both"/>
        <w:rPr>
          <w:rFonts w:ascii="Arial" w:hAnsi="Arial" w:cs="Arial"/>
          <w:b/>
          <w:bCs/>
          <w:sz w:val="24"/>
          <w:lang w:val="pt-BR"/>
        </w:rPr>
      </w:pPr>
      <w:r w:rsidRPr="00627691">
        <w:rPr>
          <w:rFonts w:ascii="Arial" w:hAnsi="Arial" w:cs="Arial"/>
          <w:b/>
          <w:bCs/>
          <w:sz w:val="24"/>
          <w:lang w:val="pt-BR"/>
        </w:rPr>
        <w:t>A i</w:t>
      </w:r>
      <w:r w:rsidR="00FB4EDD" w:rsidRPr="00627691">
        <w:rPr>
          <w:rFonts w:ascii="Arial" w:hAnsi="Arial" w:cs="Arial"/>
          <w:b/>
          <w:bCs/>
          <w:sz w:val="24"/>
          <w:lang w:val="pt-BR"/>
        </w:rPr>
        <w:t>mportância do Planejamento Financeiro na Prevenção ao Superendividamento</w:t>
      </w:r>
      <w:r w:rsidR="00627691" w:rsidRPr="00627691">
        <w:rPr>
          <w:rFonts w:ascii="Arial" w:hAnsi="Arial" w:cs="Arial"/>
          <w:b/>
          <w:bCs/>
          <w:sz w:val="24"/>
          <w:lang w:val="pt-BR"/>
        </w:rPr>
        <w:t xml:space="preserve"> </w:t>
      </w:r>
    </w:p>
    <w:p w14:paraId="25220CF1" w14:textId="77777777" w:rsidR="00762D09" w:rsidRPr="00762D09" w:rsidRDefault="00762D09" w:rsidP="00762D09">
      <w:pPr>
        <w:spacing w:afterLines="70" w:after="168" w:line="360" w:lineRule="auto"/>
        <w:ind w:firstLine="708"/>
        <w:jc w:val="both"/>
        <w:rPr>
          <w:rFonts w:ascii="Arial" w:eastAsia="Calibri" w:hAnsi="Arial" w:cs="Times New Roman"/>
          <w:sz w:val="24"/>
          <w:lang w:val="pt-BR"/>
        </w:rPr>
      </w:pPr>
      <w:r w:rsidRPr="00762D09">
        <w:rPr>
          <w:rFonts w:ascii="Arial" w:eastAsia="Calibri" w:hAnsi="Arial" w:cs="Times New Roman"/>
          <w:sz w:val="24"/>
          <w:lang w:val="pt-BR"/>
        </w:rPr>
        <w:lastRenderedPageBreak/>
        <w:t xml:space="preserve">A </w:t>
      </w:r>
      <w:r w:rsidRPr="005F025E">
        <w:rPr>
          <w:rFonts w:ascii="Arial" w:eastAsia="Calibri" w:hAnsi="Arial" w:cs="Times New Roman"/>
          <w:sz w:val="24"/>
          <w:lang w:val="pt-BR"/>
        </w:rPr>
        <w:t>Lei nº 14.181/2021</w:t>
      </w:r>
      <w:r w:rsidRPr="00762D09">
        <w:rPr>
          <w:rFonts w:ascii="Arial" w:eastAsia="Calibri" w:hAnsi="Arial" w:cs="Times New Roman"/>
          <w:sz w:val="24"/>
          <w:lang w:val="pt-BR"/>
        </w:rPr>
        <w:t xml:space="preserve"> trouxe um marco regulatório muito importante ao reconhecer juridicamente a condição de superendividamento, diferenciando-o do simples endividamento. O conceito está diretamente ligado à incapacidade do consumidor de arcar com todas as dívidas contraídas sem comprometer recursos indispensáveis à sua sobrevivência e de sua família. Nessa perspectiva, não se trata apenas de dificuldades momentâneas ou passageiras de pagamento, mas de uma situação estrutural em que despesas básicas, como moradia, saúde, alimentação e educação, ficam em risco. </w:t>
      </w:r>
    </w:p>
    <w:p w14:paraId="26574D53" w14:textId="77777777" w:rsidR="00762D09" w:rsidRPr="00762D09" w:rsidRDefault="00762D09" w:rsidP="00762D09">
      <w:pPr>
        <w:spacing w:afterLines="70" w:after="168" w:line="360" w:lineRule="auto"/>
        <w:ind w:firstLine="708"/>
        <w:jc w:val="both"/>
        <w:rPr>
          <w:rFonts w:ascii="Arial" w:eastAsia="Calibri" w:hAnsi="Arial" w:cs="Times New Roman"/>
          <w:sz w:val="24"/>
          <w:lang w:val="pt-BR"/>
        </w:rPr>
      </w:pPr>
      <w:r w:rsidRPr="00762D09">
        <w:rPr>
          <w:rFonts w:ascii="Arial" w:eastAsia="Calibri" w:hAnsi="Arial" w:cs="Times New Roman"/>
          <w:sz w:val="24"/>
          <w:lang w:val="pt-BR"/>
        </w:rPr>
        <w:t xml:space="preserve">De acordo com a Cartilha do CNJ (2022), o superendividamento possui forte impacto social, pois compromete a dignidade do indivíduo, afetando não apenas seu equilíbrio financeiro, mas também suas condições de vida. As origens do problema são múltiplas e podem estar associadas tanto à falta de preparo para lidar com as finanças pessoais, quanto a fatores externos inesperados, como perda de emprego ou doenças graves. Soma-se a isso a prática recorrente de concessão de crédito sem critérios adequados, o que estimula o consumo descontrolado e fragiliza ainda mais a situação do consumidor. </w:t>
      </w:r>
    </w:p>
    <w:p w14:paraId="304A593F" w14:textId="2F4E9C21" w:rsidR="00762D09" w:rsidRPr="00762D09" w:rsidRDefault="00762D09" w:rsidP="00762D09">
      <w:pPr>
        <w:spacing w:afterLines="70" w:after="168" w:line="360" w:lineRule="auto"/>
        <w:ind w:firstLine="708"/>
        <w:jc w:val="both"/>
        <w:rPr>
          <w:rFonts w:ascii="Arial" w:eastAsia="Calibri" w:hAnsi="Arial" w:cs="Times New Roman"/>
          <w:sz w:val="24"/>
          <w:lang w:val="pt-BR"/>
        </w:rPr>
      </w:pPr>
      <w:r w:rsidRPr="00762D09">
        <w:rPr>
          <w:rFonts w:ascii="Arial" w:eastAsia="Calibri" w:hAnsi="Arial" w:cs="Times New Roman"/>
          <w:sz w:val="24"/>
          <w:lang w:val="pt-BR"/>
        </w:rPr>
        <w:t xml:space="preserve">Diante desse cenário, dois elementos se destacam como essenciais para o enfrentamento do problema: a adoção de estratégias de gestão de dívidas e o fortalecimento da educação financeira. Enquanto o primeiro possibilita reorganizar compromissos e buscar alternativas viáveis de pagamento, o segundo contribui para que o indivíduo desenvolva consciência sobre suas escolhas financeiras, prevenindo a repetição de erros e a entrada em ciclos de endividamento excessivo.   </w:t>
      </w:r>
    </w:p>
    <w:p w14:paraId="6A481A5A" w14:textId="538EDFAF" w:rsidR="0007758D" w:rsidRPr="0007758D" w:rsidRDefault="0007758D" w:rsidP="0007758D">
      <w:pPr>
        <w:spacing w:before="100" w:beforeAutospacing="1" w:after="100" w:afterAutospacing="1" w:line="360" w:lineRule="auto"/>
        <w:ind w:firstLine="720"/>
        <w:jc w:val="both"/>
        <w:rPr>
          <w:rFonts w:ascii="Arial" w:eastAsia="Times New Roman" w:hAnsi="Arial" w:cs="Arial"/>
          <w:sz w:val="24"/>
          <w:szCs w:val="24"/>
          <w:lang w:val="pt-BR"/>
        </w:rPr>
      </w:pPr>
      <w:r w:rsidRPr="0007758D">
        <w:rPr>
          <w:rFonts w:ascii="Arial" w:eastAsia="Times New Roman" w:hAnsi="Arial" w:cs="Arial"/>
          <w:sz w:val="24"/>
          <w:szCs w:val="24"/>
          <w:lang w:val="pt-BR"/>
        </w:rPr>
        <w:t>Outro aspecto relevante é o monitoramento constante das transações. Esse acompanhamento contínuo permite identificar os chamados “gastos invisíveis”, que muitas vezes passam despercebidos, mas comprometem a renda. O uso de ferramentas de controle</w:t>
      </w:r>
      <w:r w:rsidR="00AE7D9E">
        <w:rPr>
          <w:rFonts w:ascii="Arial" w:eastAsia="Times New Roman" w:hAnsi="Arial" w:cs="Arial"/>
          <w:sz w:val="24"/>
          <w:szCs w:val="24"/>
          <w:lang w:val="pt-BR"/>
        </w:rPr>
        <w:t xml:space="preserve"> como as planilhas eletrônicas, aplicativos de gestão financeiros e plataformas especializadas, pode facilitar</w:t>
      </w:r>
      <w:r w:rsidRPr="0007758D">
        <w:rPr>
          <w:rFonts w:ascii="Arial" w:eastAsia="Times New Roman" w:hAnsi="Arial" w:cs="Arial"/>
          <w:sz w:val="24"/>
          <w:szCs w:val="24"/>
          <w:lang w:val="pt-BR"/>
        </w:rPr>
        <w:t xml:space="preserve"> esse processo de forma prática e acessível.</w:t>
      </w:r>
    </w:p>
    <w:p w14:paraId="6B27D99E" w14:textId="77777777" w:rsidR="0007758D" w:rsidRPr="0007758D" w:rsidRDefault="0007758D" w:rsidP="0007758D">
      <w:pPr>
        <w:spacing w:before="100" w:beforeAutospacing="1" w:after="100" w:afterAutospacing="1" w:line="360" w:lineRule="auto"/>
        <w:ind w:firstLine="720"/>
        <w:jc w:val="both"/>
        <w:rPr>
          <w:rFonts w:ascii="Arial" w:eastAsia="Times New Roman" w:hAnsi="Arial" w:cs="Arial"/>
          <w:sz w:val="24"/>
          <w:szCs w:val="24"/>
          <w:lang w:val="pt-BR"/>
        </w:rPr>
      </w:pPr>
      <w:r w:rsidRPr="0007758D">
        <w:rPr>
          <w:rFonts w:ascii="Arial" w:eastAsia="Times New Roman" w:hAnsi="Arial" w:cs="Arial"/>
          <w:sz w:val="24"/>
          <w:szCs w:val="24"/>
          <w:lang w:val="pt-BR"/>
        </w:rPr>
        <w:t xml:space="preserve">Em relação à reserva de emergência, recomenda-se que ela corresponda de três a seis meses do valor das despesas fixas mensais. Essa margem oferece maior </w:t>
      </w:r>
      <w:r w:rsidRPr="0007758D">
        <w:rPr>
          <w:rFonts w:ascii="Arial" w:eastAsia="Times New Roman" w:hAnsi="Arial" w:cs="Arial"/>
          <w:sz w:val="24"/>
          <w:szCs w:val="24"/>
          <w:lang w:val="pt-BR"/>
        </w:rPr>
        <w:lastRenderedPageBreak/>
        <w:t>segurança diante de situações como perda de emprego ou emergências médicas, contribuindo para uma estrutura financeira mais resiliente.</w:t>
      </w:r>
    </w:p>
    <w:p w14:paraId="72D463F4" w14:textId="77777777" w:rsidR="0007758D" w:rsidRDefault="0007758D" w:rsidP="0007758D">
      <w:pPr>
        <w:spacing w:before="100" w:beforeAutospacing="1" w:after="100" w:afterAutospacing="1" w:line="360" w:lineRule="auto"/>
        <w:ind w:firstLine="720"/>
        <w:jc w:val="both"/>
        <w:rPr>
          <w:rFonts w:ascii="Arial" w:eastAsia="Times New Roman" w:hAnsi="Arial" w:cs="Arial"/>
          <w:sz w:val="24"/>
          <w:szCs w:val="24"/>
          <w:lang w:val="pt-BR"/>
        </w:rPr>
      </w:pPr>
      <w:r w:rsidRPr="0007758D">
        <w:rPr>
          <w:rFonts w:ascii="Arial" w:eastAsia="Times New Roman" w:hAnsi="Arial" w:cs="Arial"/>
          <w:sz w:val="24"/>
          <w:szCs w:val="24"/>
          <w:lang w:val="pt-BR"/>
        </w:rPr>
        <w:t>Dessa forma, a eficácia do planejamento financeiro está diretamente relacionada à capacidade do indivíduo de realizar um diagnóstico detalhado, estabelecer metas claras e adotar mecanismos contínuos de controle e adaptação. Mais do que uma técnica pontual, trata-se de uma prática constante de organização e responsabilidade no uso dos próprios recursos.</w:t>
      </w:r>
    </w:p>
    <w:p w14:paraId="74303CB7" w14:textId="3BABB593" w:rsidR="00741BDA" w:rsidRDefault="00741BDA" w:rsidP="00741BDA">
      <w:pPr>
        <w:spacing w:afterLines="70" w:after="168" w:line="360" w:lineRule="auto"/>
        <w:ind w:firstLine="708"/>
        <w:jc w:val="both"/>
        <w:rPr>
          <w:rFonts w:ascii="Arial" w:eastAsia="Calibri" w:hAnsi="Arial" w:cs="Times New Roman"/>
          <w:sz w:val="24"/>
          <w:lang w:val="pt-BR"/>
        </w:rPr>
      </w:pPr>
      <w:r w:rsidRPr="00741BDA">
        <w:rPr>
          <w:rFonts w:ascii="Arial" w:eastAsia="Calibri" w:hAnsi="Arial" w:cs="Times New Roman"/>
          <w:sz w:val="24"/>
          <w:lang w:val="pt-BR"/>
        </w:rPr>
        <w:t xml:space="preserve">Um planejamento financeiro eficaz é essencial para a manutenção da saúde econômica pessoal. Embora não exista um método universal a ser seguido de forma rígida, algumas etapas são fundamentais e, quando bem executadas, contribuem significativamente para o sucesso do planejamento. A primeira delas é o diagnóstico financeiro, momento em que se realizam o levantamento e a classificação de todas as fontes de renda, além da identificação das despesas fixas e variáveis. Esse levantamento inicial permite compreender a estrutura financeira do indivíduo, evidenciando o montante disponível em caixa, o total da renda e o grau de comprometimento com os gastos regulares. </w:t>
      </w:r>
    </w:p>
    <w:p w14:paraId="79963934" w14:textId="77777777" w:rsidR="00741BDA" w:rsidRPr="00741BDA" w:rsidRDefault="00741BDA" w:rsidP="00741BDA">
      <w:pPr>
        <w:spacing w:afterLines="70" w:after="168" w:line="360" w:lineRule="auto"/>
        <w:ind w:firstLine="708"/>
        <w:jc w:val="both"/>
        <w:rPr>
          <w:rFonts w:ascii="Arial" w:eastAsia="Calibri" w:hAnsi="Arial" w:cs="Times New Roman"/>
          <w:sz w:val="24"/>
          <w:lang w:val="pt-BR"/>
        </w:rPr>
      </w:pPr>
      <w:r w:rsidRPr="00741BDA">
        <w:rPr>
          <w:rFonts w:ascii="Arial" w:eastAsia="Calibri" w:hAnsi="Arial" w:cs="Times New Roman"/>
          <w:sz w:val="24"/>
          <w:lang w:val="pt-BR"/>
        </w:rPr>
        <w:t xml:space="preserve">De acordo com </w:t>
      </w:r>
      <w:r w:rsidRPr="0047241E">
        <w:rPr>
          <w:rFonts w:ascii="Arial" w:eastAsia="Calibri" w:hAnsi="Arial" w:cs="Times New Roman"/>
          <w:sz w:val="24"/>
          <w:lang w:val="pt-BR"/>
        </w:rPr>
        <w:t>Gitman e Joehnk (2004),</w:t>
      </w:r>
      <w:r w:rsidRPr="00741BDA">
        <w:rPr>
          <w:rFonts w:ascii="Arial" w:eastAsia="Calibri" w:hAnsi="Arial" w:cs="Times New Roman"/>
          <w:sz w:val="24"/>
          <w:lang w:val="pt-BR"/>
        </w:rPr>
        <w:t xml:space="preserve"> o diagnóstico representa a base para a construção de um plano financeiro realista e sustentável ao longo do tempo. Além disso, é importante considerar a existência ou ausência de uma reserva de emergência, elemento indispensável para enfrentar imprevistos e garantir maior estabilidade. </w:t>
      </w:r>
    </w:p>
    <w:p w14:paraId="6E1E2695" w14:textId="42BFDF55" w:rsidR="00741BDA" w:rsidRPr="00741BDA" w:rsidRDefault="00741BDA" w:rsidP="00741BDA">
      <w:pPr>
        <w:spacing w:afterLines="70" w:after="168" w:line="360" w:lineRule="auto"/>
        <w:ind w:firstLine="708"/>
        <w:jc w:val="both"/>
        <w:rPr>
          <w:rFonts w:ascii="Arial" w:eastAsia="Calibri" w:hAnsi="Arial" w:cs="Times New Roman"/>
          <w:sz w:val="24"/>
          <w:lang w:val="pt-BR"/>
        </w:rPr>
      </w:pPr>
      <w:r w:rsidRPr="00741BDA">
        <w:rPr>
          <w:rFonts w:ascii="Arial" w:eastAsia="Calibri" w:hAnsi="Arial" w:cs="Times New Roman"/>
          <w:sz w:val="24"/>
          <w:lang w:val="pt-BR"/>
        </w:rPr>
        <w:t xml:space="preserve">O planejamento financeiro deve estar orientado por objetivos bem definidos, mesmo que sejam de curto, médio ou longo prazo. Essas metas precisam ser específicas, mensuráveis, alcançáveis, relevantes e temporais, conforme os critérios SMART. Segundo </w:t>
      </w:r>
      <w:r w:rsidR="00FF078E">
        <w:rPr>
          <w:rFonts w:ascii="Arial" w:eastAsia="Calibri" w:hAnsi="Arial" w:cs="Times New Roman"/>
          <w:sz w:val="24"/>
          <w:lang w:val="pt-BR"/>
        </w:rPr>
        <w:t xml:space="preserve">Macêdo </w:t>
      </w:r>
      <w:r w:rsidR="00856D44">
        <w:rPr>
          <w:rFonts w:ascii="Arial" w:eastAsia="Calibri" w:hAnsi="Arial" w:cs="Times New Roman"/>
          <w:sz w:val="24"/>
          <w:lang w:val="pt-BR"/>
        </w:rPr>
        <w:t>(</w:t>
      </w:r>
      <w:r w:rsidRPr="00741BDA">
        <w:rPr>
          <w:rFonts w:ascii="Arial" w:eastAsia="Calibri" w:hAnsi="Arial" w:cs="Times New Roman"/>
          <w:sz w:val="24"/>
          <w:lang w:val="pt-BR"/>
        </w:rPr>
        <w:t>2014)</w:t>
      </w:r>
      <w:r w:rsidR="00FF078E">
        <w:rPr>
          <w:rFonts w:ascii="Arial" w:eastAsia="Calibri" w:hAnsi="Arial" w:cs="Times New Roman"/>
          <w:sz w:val="24"/>
          <w:lang w:val="pt-BR"/>
        </w:rPr>
        <w:t>,</w:t>
      </w:r>
      <w:r w:rsidRPr="00741BDA">
        <w:rPr>
          <w:rFonts w:ascii="Arial" w:eastAsia="Calibri" w:hAnsi="Arial" w:cs="Times New Roman"/>
          <w:sz w:val="24"/>
          <w:lang w:val="pt-BR"/>
        </w:rPr>
        <w:t xml:space="preserve"> a matemática financeira fornece fundamentos essenciais para a análise de operações de crédito e investimento e a clareza na definição dos objetivos é um dos principais fatores que influenciam a eficácia do planejamento financeiro. Embora o planejamento financeiro seja essencial, nem sempre sua eficácia será garantida, devido a fatores externos como crises econômicas, desemprego ou crises abruptas nas taxas de juros. </w:t>
      </w:r>
    </w:p>
    <w:p w14:paraId="15BB2050" w14:textId="1FC5BAC5" w:rsidR="00741BDA" w:rsidRDefault="00741BDA" w:rsidP="00741BDA">
      <w:pPr>
        <w:spacing w:afterLines="70" w:after="168" w:line="360" w:lineRule="auto"/>
        <w:ind w:firstLine="708"/>
        <w:jc w:val="both"/>
        <w:rPr>
          <w:rFonts w:ascii="Arial" w:eastAsia="Calibri" w:hAnsi="Arial" w:cs="Times New Roman"/>
          <w:sz w:val="24"/>
          <w:lang w:val="pt-BR"/>
        </w:rPr>
      </w:pPr>
      <w:r w:rsidRPr="00741BDA">
        <w:rPr>
          <w:rFonts w:ascii="Arial" w:eastAsia="Calibri" w:hAnsi="Arial" w:cs="Times New Roman"/>
          <w:sz w:val="24"/>
          <w:lang w:val="pt-BR"/>
        </w:rPr>
        <w:lastRenderedPageBreak/>
        <w:t xml:space="preserve">Portanto, o planejamento financeiro deve ser encarado como uma ferramenta estratégica, capaz de orientar decisões e reduzir riscos, mas não como garantia absoluta de sucesso e mesmo os planos mais bem estruturados necessitam de flexibilidade e adaptação às circunstâncias imprevistas. </w:t>
      </w:r>
    </w:p>
    <w:p w14:paraId="7F9AC977" w14:textId="77777777" w:rsidR="00627691" w:rsidRDefault="00627691" w:rsidP="00741BDA">
      <w:pPr>
        <w:spacing w:afterLines="70" w:after="168" w:line="360" w:lineRule="auto"/>
        <w:ind w:firstLine="708"/>
        <w:jc w:val="both"/>
        <w:rPr>
          <w:rFonts w:ascii="Arial" w:eastAsia="Calibri" w:hAnsi="Arial" w:cs="Times New Roman"/>
          <w:sz w:val="24"/>
          <w:lang w:val="pt-BR"/>
        </w:rPr>
      </w:pPr>
    </w:p>
    <w:p w14:paraId="46D34C0B" w14:textId="3B910B01" w:rsidR="00741BDA" w:rsidRPr="00741BDA" w:rsidRDefault="00741BDA" w:rsidP="00741BDA">
      <w:pPr>
        <w:spacing w:afterLines="70" w:after="168" w:line="360" w:lineRule="auto"/>
        <w:ind w:firstLine="708"/>
        <w:jc w:val="both"/>
        <w:rPr>
          <w:rFonts w:ascii="Arial" w:eastAsia="Calibri" w:hAnsi="Arial" w:cs="Times New Roman"/>
          <w:sz w:val="24"/>
          <w:lang w:val="pt-BR"/>
        </w:rPr>
      </w:pPr>
      <w:r w:rsidRPr="00741BDA">
        <w:rPr>
          <w:rFonts w:ascii="Arial" w:eastAsia="Calibri" w:hAnsi="Arial" w:cs="Times New Roman"/>
          <w:sz w:val="24"/>
          <w:lang w:val="pt-BR"/>
        </w:rPr>
        <w:t xml:space="preserve">Uma prática recomendada nesse contexto é a organização da renda total com base em proporções que favoreçam uma alocação consciente dos recursos. A chamada regra 50-30-20, proposta por </w:t>
      </w:r>
      <w:r w:rsidRPr="00A5238F">
        <w:rPr>
          <w:rFonts w:ascii="Arial" w:eastAsia="Calibri" w:hAnsi="Arial" w:cs="Times New Roman"/>
          <w:sz w:val="24"/>
          <w:lang w:val="pt-BR"/>
        </w:rPr>
        <w:t>Warren e Warren Tyagi</w:t>
      </w:r>
      <w:r w:rsidRPr="00741BDA">
        <w:rPr>
          <w:rFonts w:ascii="Arial" w:eastAsia="Calibri" w:hAnsi="Arial" w:cs="Times New Roman"/>
          <w:sz w:val="24"/>
          <w:lang w:val="pt-BR"/>
        </w:rPr>
        <w:t xml:space="preserve"> (200</w:t>
      </w:r>
      <w:r w:rsidR="0047241E">
        <w:rPr>
          <w:rFonts w:ascii="Arial" w:eastAsia="Calibri" w:hAnsi="Arial" w:cs="Times New Roman"/>
          <w:sz w:val="24"/>
          <w:lang w:val="pt-BR"/>
        </w:rPr>
        <w:t>5</w:t>
      </w:r>
      <w:r w:rsidRPr="00741BDA">
        <w:rPr>
          <w:rFonts w:ascii="Arial" w:eastAsia="Calibri" w:hAnsi="Arial" w:cs="Times New Roman"/>
          <w:sz w:val="24"/>
          <w:lang w:val="pt-BR"/>
        </w:rPr>
        <w:t xml:space="preserve">), sugere a divisão da renda em 50% para necessidades básicas, 30% para desejos e 20% para poupança e quitação de dívidas. A autora deixa claro que, embora não seja uma norma fixa, essa divisão funciona como um guia funcional para quem busca equilíbrio financeiro. </w:t>
      </w:r>
    </w:p>
    <w:p w14:paraId="33191791" w14:textId="5D545313" w:rsidR="00741BDA" w:rsidRDefault="00741BDA" w:rsidP="00741BDA">
      <w:pPr>
        <w:spacing w:afterLines="70" w:after="168" w:line="360" w:lineRule="auto"/>
        <w:ind w:firstLine="708"/>
        <w:jc w:val="both"/>
        <w:rPr>
          <w:rFonts w:ascii="Arial" w:eastAsia="Calibri" w:hAnsi="Arial" w:cs="Times New Roman"/>
          <w:sz w:val="24"/>
          <w:lang w:val="pt-BR"/>
        </w:rPr>
      </w:pPr>
      <w:r w:rsidRPr="00741BDA">
        <w:rPr>
          <w:rFonts w:ascii="Arial" w:eastAsia="Calibri" w:hAnsi="Arial" w:cs="Times New Roman"/>
          <w:sz w:val="24"/>
          <w:lang w:val="pt-BR"/>
        </w:rPr>
        <w:t>Embora </w:t>
      </w:r>
      <w:r w:rsidRPr="00226342">
        <w:rPr>
          <w:rFonts w:ascii="Arial" w:eastAsia="Calibri" w:hAnsi="Arial" w:cs="Times New Roman"/>
          <w:sz w:val="24"/>
          <w:lang w:val="pt-BR"/>
        </w:rPr>
        <w:t>Warren e Tyagi</w:t>
      </w:r>
      <w:r w:rsidR="0047241E">
        <w:rPr>
          <w:rFonts w:ascii="Arial" w:eastAsia="Calibri" w:hAnsi="Arial" w:cs="Times New Roman"/>
          <w:sz w:val="24"/>
          <w:lang w:val="pt-BR"/>
        </w:rPr>
        <w:t xml:space="preserve"> (2005</w:t>
      </w:r>
      <w:r w:rsidRPr="00741BDA">
        <w:rPr>
          <w:rFonts w:ascii="Arial" w:eastAsia="Calibri" w:hAnsi="Arial" w:cs="Times New Roman"/>
          <w:sz w:val="24"/>
          <w:lang w:val="pt-BR"/>
        </w:rPr>
        <w:t xml:space="preserve">) reforçam que a alocação consciente da renda via regra 50-30-20 ajuda a tornar esse diagnóstico efetivo na prática, Assaf Neto (apud Macêdo, 2014) alerta sobre a imprevisibilidade mesmo diante de um diagnóstico financeiro e reservas de emergência. Embora Warren e Tyagi (2005) reforcem que a alocação consciente da renda via regra 50-30-20 ajuda a tornar o diagnóstico financeiro efetivo na prática, Assaf Neto (apud Macêdo, 2014) alerta que imprevistos podem ocorrer mesmo diante de um bom planejamento e reservas de emergência. Ou seja, o conhecimento financeiro é essencial não apenas para organizar recursos, mas também para reduzir vulnerabilidades. Pessoas sem esse conhecimento tornam-se ainda mais expostas aos riscos de endividamento e instabilidade, evidenciando que educação financeira é a base para lidar com incertezas e proteger a própria segurança econômica. </w:t>
      </w:r>
    </w:p>
    <w:p w14:paraId="64A9D9C9" w14:textId="3C89F04F" w:rsidR="00741BDA" w:rsidRDefault="006A1F1A" w:rsidP="00741BDA">
      <w:pPr>
        <w:spacing w:afterLines="70" w:after="168" w:line="360" w:lineRule="auto"/>
        <w:ind w:firstLine="708"/>
        <w:jc w:val="both"/>
        <w:rPr>
          <w:rFonts w:ascii="Arial" w:eastAsia="Calibri" w:hAnsi="Arial" w:cs="Times New Roman"/>
          <w:sz w:val="24"/>
          <w:lang w:val="pt-BR"/>
        </w:rPr>
      </w:pPr>
      <w:r>
        <w:rPr>
          <w:rFonts w:ascii="Arial" w:eastAsia="Calibri" w:hAnsi="Arial" w:cs="Times New Roman"/>
          <w:sz w:val="24"/>
          <w:lang w:val="pt-BR"/>
        </w:rPr>
        <w:t>Segundo Warren e Tyagi (2005) o</w:t>
      </w:r>
      <w:r w:rsidR="00741BDA" w:rsidRPr="00226342">
        <w:rPr>
          <w:rFonts w:ascii="Arial" w:eastAsia="Calibri" w:hAnsi="Arial" w:cs="Times New Roman"/>
          <w:sz w:val="24"/>
          <w:lang w:val="pt-BR"/>
        </w:rPr>
        <w:t>utro aspecto relevante é o monitoramento constante das transações, esse acompanhamento contínuo permite identificar os chamados “gastos invisíveis”, que muitas vezes passam despercebidos, mas comprometem a renda. O uso de ferramentas de controle como planilhas eletrônicas, aplicativos de gestão financeira ou plataformas especializadas, pode facilitar esse processo de forma prática e acessível.</w:t>
      </w:r>
      <w:r w:rsidR="00741BDA" w:rsidRPr="00741BDA">
        <w:rPr>
          <w:rFonts w:ascii="Arial" w:eastAsia="Calibri" w:hAnsi="Arial" w:cs="Times New Roman"/>
          <w:sz w:val="24"/>
          <w:lang w:val="pt-BR"/>
        </w:rPr>
        <w:t xml:space="preserve"> </w:t>
      </w:r>
    </w:p>
    <w:p w14:paraId="6314D221" w14:textId="27603FCE" w:rsidR="00741BDA" w:rsidRPr="00741BDA" w:rsidRDefault="00C40E50" w:rsidP="00741BDA">
      <w:pPr>
        <w:spacing w:afterLines="70" w:after="168" w:line="360" w:lineRule="auto"/>
        <w:ind w:firstLine="708"/>
        <w:jc w:val="both"/>
        <w:rPr>
          <w:rFonts w:ascii="Arial" w:eastAsia="Calibri" w:hAnsi="Arial" w:cs="Times New Roman"/>
          <w:sz w:val="24"/>
          <w:lang w:val="pt-BR"/>
        </w:rPr>
      </w:pPr>
      <w:r>
        <w:rPr>
          <w:rFonts w:ascii="Arial" w:eastAsia="Calibri" w:hAnsi="Arial" w:cs="Times New Roman"/>
          <w:sz w:val="24"/>
          <w:lang w:val="pt-BR"/>
        </w:rPr>
        <w:t>Segundo dados do Procon (2022), recomenda-se que</w:t>
      </w:r>
      <w:r w:rsidR="00741BDA" w:rsidRPr="00226342">
        <w:rPr>
          <w:rFonts w:ascii="Arial" w:eastAsia="Calibri" w:hAnsi="Arial" w:cs="Times New Roman"/>
          <w:sz w:val="24"/>
          <w:lang w:val="pt-BR"/>
        </w:rPr>
        <w:t xml:space="preserve"> </w:t>
      </w:r>
      <w:r>
        <w:rPr>
          <w:rFonts w:ascii="Arial" w:eastAsia="Calibri" w:hAnsi="Arial" w:cs="Times New Roman"/>
          <w:sz w:val="24"/>
          <w:lang w:val="pt-BR"/>
        </w:rPr>
        <w:t xml:space="preserve">a reserva de </w:t>
      </w:r>
      <w:bookmarkStart w:id="2" w:name="_GoBack"/>
      <w:bookmarkEnd w:id="2"/>
      <w:r>
        <w:rPr>
          <w:rFonts w:ascii="Arial" w:eastAsia="Calibri" w:hAnsi="Arial" w:cs="Times New Roman"/>
          <w:sz w:val="24"/>
          <w:lang w:val="pt-BR"/>
        </w:rPr>
        <w:t xml:space="preserve">emergência </w:t>
      </w:r>
      <w:r w:rsidR="00741BDA" w:rsidRPr="00226342">
        <w:rPr>
          <w:rFonts w:ascii="Arial" w:eastAsia="Calibri" w:hAnsi="Arial" w:cs="Times New Roman"/>
          <w:sz w:val="24"/>
          <w:lang w:val="pt-BR"/>
        </w:rPr>
        <w:t xml:space="preserve">corresponda de três a seis meses do valor das despesas fixas mensais. </w:t>
      </w:r>
      <w:r w:rsidR="00741BDA" w:rsidRPr="00226342">
        <w:rPr>
          <w:rFonts w:ascii="Arial" w:eastAsia="Calibri" w:hAnsi="Arial" w:cs="Times New Roman"/>
          <w:sz w:val="24"/>
          <w:lang w:val="pt-BR"/>
        </w:rPr>
        <w:lastRenderedPageBreak/>
        <w:t>Essa margem oferece maior segurança diante de situações como perda de emprego ou emergências médicas, contribuindo para uma estrutura financeira mais resiliente.</w:t>
      </w:r>
      <w:r w:rsidR="00741BDA" w:rsidRPr="00741BDA">
        <w:rPr>
          <w:rFonts w:ascii="Arial" w:eastAsia="Calibri" w:hAnsi="Arial" w:cs="Times New Roman"/>
          <w:sz w:val="24"/>
          <w:lang w:val="pt-BR"/>
        </w:rPr>
        <w:t xml:space="preserve"> </w:t>
      </w:r>
    </w:p>
    <w:p w14:paraId="30CE1B39" w14:textId="77777777" w:rsidR="00741BDA" w:rsidRPr="00741BDA" w:rsidRDefault="00741BDA" w:rsidP="00741BDA">
      <w:pPr>
        <w:spacing w:afterLines="70" w:after="168" w:line="360" w:lineRule="auto"/>
        <w:ind w:firstLine="708"/>
        <w:jc w:val="both"/>
        <w:rPr>
          <w:rFonts w:ascii="Arial" w:eastAsia="Calibri" w:hAnsi="Arial" w:cs="Times New Roman"/>
          <w:sz w:val="24"/>
          <w:lang w:val="pt-BR"/>
        </w:rPr>
      </w:pPr>
      <w:r w:rsidRPr="00741BDA">
        <w:rPr>
          <w:rFonts w:ascii="Arial" w:eastAsia="Calibri" w:hAnsi="Arial" w:cs="Times New Roman"/>
          <w:sz w:val="24"/>
          <w:lang w:val="pt-BR"/>
        </w:rPr>
        <w:t xml:space="preserve">Conforme explicado acima, a eficácia do planejamento financeiro está diretamente relacionada à capacidade do indivíduo de realizar um diagnóstico detalhado, estabelecer metas claras e adotar mecanismos contínuos de controle e adaptação. Mais do que uma técnica pontual, trata-se de uma prática constante de organização e responsabilidade no uso dos próprios recursos. </w:t>
      </w:r>
    </w:p>
    <w:p w14:paraId="49F5C546" w14:textId="625928C3" w:rsidR="00741BDA" w:rsidRDefault="00741BDA" w:rsidP="00741BDA">
      <w:pPr>
        <w:spacing w:afterLines="70" w:after="168" w:line="360" w:lineRule="auto"/>
        <w:ind w:firstLine="708"/>
        <w:jc w:val="both"/>
        <w:rPr>
          <w:rFonts w:ascii="Arial" w:eastAsia="Calibri" w:hAnsi="Arial" w:cs="Times New Roman"/>
          <w:sz w:val="24"/>
          <w:lang w:val="pt-BR"/>
        </w:rPr>
      </w:pPr>
      <w:r w:rsidRPr="00741BDA">
        <w:rPr>
          <w:rFonts w:ascii="Arial" w:eastAsia="Calibri" w:hAnsi="Arial" w:cs="Times New Roman"/>
          <w:sz w:val="24"/>
          <w:lang w:val="pt-BR"/>
        </w:rPr>
        <w:t>A educação financeira é uma ferramenta indispensável no gerenciamento de renda. Ela tem como objetivo garantir maior flexibilidade, segurança  e estabilidade econômica mesm</w:t>
      </w:r>
      <w:r w:rsidR="009C240C">
        <w:rPr>
          <w:rFonts w:ascii="Arial" w:eastAsia="Calibri" w:hAnsi="Arial" w:cs="Times New Roman"/>
          <w:sz w:val="24"/>
          <w:lang w:val="pt-BR"/>
        </w:rPr>
        <w:t>o em t</w:t>
      </w:r>
      <w:r w:rsidR="006A1F1A">
        <w:rPr>
          <w:rFonts w:ascii="Arial" w:eastAsia="Calibri" w:hAnsi="Arial" w:cs="Times New Roman"/>
          <w:sz w:val="24"/>
          <w:lang w:val="pt-BR"/>
        </w:rPr>
        <w:t>empos de crise econômica. Warren e Tiagy</w:t>
      </w:r>
      <w:r w:rsidR="009C240C">
        <w:rPr>
          <w:rFonts w:ascii="Arial" w:eastAsia="Calibri" w:hAnsi="Arial" w:cs="Times New Roman"/>
          <w:sz w:val="24"/>
          <w:lang w:val="pt-BR"/>
        </w:rPr>
        <w:t>(2005,p.</w:t>
      </w:r>
      <w:r w:rsidR="003624EE">
        <w:rPr>
          <w:rFonts w:ascii="Arial" w:eastAsia="Calibri" w:hAnsi="Arial" w:cs="Times New Roman"/>
          <w:sz w:val="24"/>
          <w:lang w:val="pt-BR"/>
        </w:rPr>
        <w:t>100</w:t>
      </w:r>
      <w:r w:rsidR="009C240C">
        <w:rPr>
          <w:rFonts w:ascii="Arial" w:eastAsia="Calibri" w:hAnsi="Arial" w:cs="Times New Roman"/>
          <w:sz w:val="24"/>
          <w:lang w:val="pt-BR"/>
        </w:rPr>
        <w:t xml:space="preserve">) </w:t>
      </w:r>
      <w:r w:rsidR="003624EE">
        <w:rPr>
          <w:rFonts w:ascii="Arial" w:eastAsia="Calibri" w:hAnsi="Arial" w:cs="Times New Roman"/>
          <w:sz w:val="24"/>
          <w:lang w:val="pt-BR"/>
        </w:rPr>
        <w:t>a</w:t>
      </w:r>
      <w:r w:rsidR="009C240C">
        <w:rPr>
          <w:rFonts w:ascii="Arial" w:eastAsia="Calibri" w:hAnsi="Arial" w:cs="Times New Roman"/>
          <w:sz w:val="24"/>
          <w:lang w:val="pt-BR"/>
        </w:rPr>
        <w:t>firmam que:</w:t>
      </w:r>
    </w:p>
    <w:p w14:paraId="6FD773E6" w14:textId="77777777" w:rsidR="00CA38EE" w:rsidRPr="00741BDA" w:rsidRDefault="00CA38EE" w:rsidP="00741BDA">
      <w:pPr>
        <w:spacing w:afterLines="70" w:after="168" w:line="360" w:lineRule="auto"/>
        <w:ind w:firstLine="708"/>
        <w:jc w:val="both"/>
        <w:rPr>
          <w:rFonts w:ascii="Arial" w:eastAsia="Calibri" w:hAnsi="Arial" w:cs="Times New Roman"/>
          <w:sz w:val="24"/>
          <w:lang w:val="pt-BR"/>
        </w:rPr>
      </w:pPr>
    </w:p>
    <w:p w14:paraId="3EBAFC75" w14:textId="4DF022A4" w:rsidR="00741BDA" w:rsidRDefault="00741BDA" w:rsidP="00741BDA">
      <w:pPr>
        <w:spacing w:afterLines="70" w:after="168" w:line="240" w:lineRule="auto"/>
        <w:ind w:left="2267" w:firstLine="5"/>
        <w:jc w:val="both"/>
        <w:rPr>
          <w:rFonts w:ascii="Arial" w:eastAsia="Arial" w:hAnsi="Arial" w:cs="Arial"/>
          <w:sz w:val="20"/>
          <w:szCs w:val="20"/>
          <w:lang w:val="pt-BR"/>
        </w:rPr>
      </w:pPr>
      <w:r w:rsidRPr="00A5238F">
        <w:rPr>
          <w:rFonts w:ascii="Arial" w:eastAsia="Arial" w:hAnsi="Arial" w:cs="Arial"/>
          <w:sz w:val="20"/>
          <w:szCs w:val="20"/>
          <w:lang w:val="pt-BR"/>
        </w:rPr>
        <w:t>“</w:t>
      </w:r>
      <w:r w:rsidR="003624EE" w:rsidRPr="00A5238F">
        <w:rPr>
          <w:rFonts w:ascii="Arial" w:eastAsia="Arial" w:hAnsi="Arial" w:cs="Arial"/>
          <w:sz w:val="20"/>
          <w:szCs w:val="20"/>
          <w:lang w:val="pt-BR"/>
        </w:rPr>
        <w:t>Equilibrar seus itens essenciais criará a base sobre a qual você poderá construir todo o seu plano financeiro, para o resto da sua vida.” (WARREN, 2005, p. 100, tradução nossa</w:t>
      </w:r>
      <w:r w:rsidRPr="00A5238F">
        <w:rPr>
          <w:rFonts w:ascii="Arial" w:eastAsia="Arial" w:hAnsi="Arial" w:cs="Arial"/>
          <w:sz w:val="20"/>
          <w:szCs w:val="20"/>
          <w:lang w:val="pt-BR"/>
        </w:rPr>
        <w:t>).</w:t>
      </w:r>
      <w:r w:rsidRPr="00741BDA">
        <w:rPr>
          <w:rFonts w:ascii="Arial" w:eastAsia="Arial" w:hAnsi="Arial" w:cs="Arial"/>
          <w:sz w:val="20"/>
          <w:szCs w:val="20"/>
          <w:lang w:val="pt-BR"/>
        </w:rPr>
        <w:t xml:space="preserve"> </w:t>
      </w:r>
    </w:p>
    <w:p w14:paraId="53433027" w14:textId="77777777" w:rsidR="00741BDA" w:rsidRDefault="00741BDA" w:rsidP="00741BDA">
      <w:pPr>
        <w:spacing w:afterLines="70" w:after="168" w:line="240" w:lineRule="auto"/>
        <w:ind w:left="2267" w:firstLine="5"/>
        <w:jc w:val="both"/>
        <w:rPr>
          <w:rFonts w:ascii="Arial" w:eastAsia="Calibri" w:hAnsi="Arial" w:cs="Times New Roman"/>
          <w:sz w:val="24"/>
          <w:lang w:val="pt-BR"/>
        </w:rPr>
      </w:pPr>
    </w:p>
    <w:p w14:paraId="37862BF3" w14:textId="77777777" w:rsidR="00CA38EE" w:rsidRPr="00741BDA" w:rsidRDefault="00CA38EE" w:rsidP="00741BDA">
      <w:pPr>
        <w:spacing w:afterLines="70" w:after="168" w:line="240" w:lineRule="auto"/>
        <w:ind w:left="2267" w:firstLine="5"/>
        <w:jc w:val="both"/>
        <w:rPr>
          <w:rFonts w:ascii="Arial" w:eastAsia="Calibri" w:hAnsi="Arial" w:cs="Times New Roman"/>
          <w:sz w:val="24"/>
          <w:lang w:val="pt-BR"/>
        </w:rPr>
      </w:pPr>
    </w:p>
    <w:p w14:paraId="2673D76B" w14:textId="3E85F8EE" w:rsidR="00741BDA" w:rsidRPr="00741BDA" w:rsidRDefault="00741BDA" w:rsidP="00741BDA">
      <w:pPr>
        <w:spacing w:afterLines="70" w:after="168" w:line="360" w:lineRule="auto"/>
        <w:ind w:firstLine="708"/>
        <w:jc w:val="both"/>
        <w:rPr>
          <w:rFonts w:ascii="Arial" w:eastAsia="Calibri" w:hAnsi="Arial" w:cs="Times New Roman"/>
          <w:sz w:val="24"/>
          <w:lang w:val="pt-BR"/>
        </w:rPr>
      </w:pPr>
      <w:r w:rsidRPr="00741BDA">
        <w:rPr>
          <w:rFonts w:ascii="Arial" w:eastAsia="Calibri" w:hAnsi="Arial" w:cs="Times New Roman"/>
          <w:sz w:val="24"/>
          <w:lang w:val="pt-BR"/>
        </w:rPr>
        <w:t>O</w:t>
      </w:r>
      <w:r w:rsidR="003624EE">
        <w:rPr>
          <w:rFonts w:ascii="Arial" w:eastAsia="Calibri" w:hAnsi="Arial" w:cs="Times New Roman"/>
          <w:sz w:val="24"/>
          <w:lang w:val="pt-BR"/>
        </w:rPr>
        <w:t>s</w:t>
      </w:r>
      <w:r w:rsidRPr="00741BDA">
        <w:rPr>
          <w:rFonts w:ascii="Arial" w:eastAsia="Calibri" w:hAnsi="Arial" w:cs="Times New Roman"/>
          <w:sz w:val="24"/>
          <w:lang w:val="pt-BR"/>
        </w:rPr>
        <w:t xml:space="preserve"> autor</w:t>
      </w:r>
      <w:r w:rsidR="003624EE">
        <w:rPr>
          <w:rFonts w:ascii="Arial" w:eastAsia="Calibri" w:hAnsi="Arial" w:cs="Times New Roman"/>
          <w:sz w:val="24"/>
          <w:lang w:val="pt-BR"/>
        </w:rPr>
        <w:t>es</w:t>
      </w:r>
      <w:r w:rsidRPr="00741BDA">
        <w:rPr>
          <w:rFonts w:ascii="Arial" w:eastAsia="Calibri" w:hAnsi="Arial" w:cs="Times New Roman"/>
          <w:sz w:val="24"/>
          <w:lang w:val="pt-BR"/>
        </w:rPr>
        <w:t xml:space="preserve"> deixa</w:t>
      </w:r>
      <w:r w:rsidR="003624EE">
        <w:rPr>
          <w:rFonts w:ascii="Arial" w:eastAsia="Calibri" w:hAnsi="Arial" w:cs="Times New Roman"/>
          <w:sz w:val="24"/>
          <w:lang w:val="pt-BR"/>
        </w:rPr>
        <w:t>m</w:t>
      </w:r>
      <w:r w:rsidRPr="00741BDA">
        <w:rPr>
          <w:rFonts w:ascii="Arial" w:eastAsia="Calibri" w:hAnsi="Arial" w:cs="Times New Roman"/>
          <w:sz w:val="24"/>
          <w:lang w:val="pt-BR"/>
        </w:rPr>
        <w:t xml:space="preserve"> claro na citação acima que a educação financeira não se limita a controlar gastos, mas é uma ferramenta estratégica para organizar recursos, c</w:t>
      </w:r>
      <w:r>
        <w:rPr>
          <w:rFonts w:ascii="Arial" w:eastAsia="Calibri" w:hAnsi="Arial" w:cs="Times New Roman"/>
          <w:sz w:val="24"/>
          <w:lang w:val="pt-BR"/>
        </w:rPr>
        <w:t>riar segurança econômica e preve</w:t>
      </w:r>
      <w:r w:rsidRPr="00741BDA">
        <w:rPr>
          <w:rFonts w:ascii="Arial" w:eastAsia="Calibri" w:hAnsi="Arial" w:cs="Times New Roman"/>
          <w:sz w:val="24"/>
          <w:lang w:val="pt-BR"/>
        </w:rPr>
        <w:t xml:space="preserve">nir situações de superendividamento. </w:t>
      </w:r>
    </w:p>
    <w:p w14:paraId="451BDF37" w14:textId="77777777" w:rsidR="00741BDA" w:rsidRPr="00741BDA" w:rsidRDefault="00741BDA" w:rsidP="00741BDA">
      <w:pPr>
        <w:spacing w:afterLines="70" w:after="168" w:line="360" w:lineRule="auto"/>
        <w:ind w:firstLine="708"/>
        <w:jc w:val="both"/>
        <w:rPr>
          <w:rFonts w:ascii="Arial" w:eastAsia="Calibri" w:hAnsi="Arial" w:cs="Times New Roman"/>
          <w:sz w:val="24"/>
          <w:lang w:val="pt-BR"/>
        </w:rPr>
      </w:pPr>
      <w:r w:rsidRPr="00741BDA">
        <w:rPr>
          <w:rFonts w:ascii="Arial" w:eastAsia="Calibri" w:hAnsi="Arial" w:cs="Times New Roman"/>
          <w:sz w:val="24"/>
          <w:lang w:val="pt-BR"/>
        </w:rPr>
        <w:t xml:space="preserve">Espera-se, dessa forma, que o planejamento financeiro pessoal, seja uma ferramenta estratégica para prevenir o superendividamento, possibilitando que cada indivíduo gerencie seus gastos e prioridades de acordo com sua realidade, sem depender exclusivamente de fórmulas prontas ou de orientação externa constante, tornando o controle financeiro mais adaptável e eficiente. </w:t>
      </w:r>
    </w:p>
    <w:p w14:paraId="4C8FAF25" w14:textId="66550BC1" w:rsidR="002214E9" w:rsidRDefault="00741BDA" w:rsidP="00741BDA">
      <w:pPr>
        <w:spacing w:afterLines="70" w:after="168" w:line="360" w:lineRule="auto"/>
        <w:ind w:firstLine="708"/>
        <w:jc w:val="both"/>
        <w:rPr>
          <w:rFonts w:ascii="Arial" w:eastAsia="Calibri" w:hAnsi="Arial" w:cs="Times New Roman"/>
          <w:sz w:val="24"/>
          <w:lang w:val="pt-BR"/>
        </w:rPr>
      </w:pPr>
      <w:r w:rsidRPr="00741BDA">
        <w:rPr>
          <w:rFonts w:ascii="Arial" w:eastAsia="Calibri" w:hAnsi="Arial" w:cs="Times New Roman"/>
          <w:sz w:val="24"/>
          <w:lang w:val="pt-BR"/>
        </w:rPr>
        <w:t xml:space="preserve">O uso de estratégias práticas, como a regra 50-30-20 proposta por Warren e Tyagi (2005), funciona como uma implementação dessa filosofia, permitindo distribuir a renda de forma equilibrada entre necessidades essenciais, desejos pessoais e poupança. Embora não exista um método único capaz de eliminar todos os riscos de endividamento, essas ferramentas oferecem estrutura e flexibilidade para que cada pessoa organize suas finanças, diminua gastos excessivos e fortaleça a segurança econômica familiar. </w:t>
      </w:r>
    </w:p>
    <w:p w14:paraId="17EF51AA" w14:textId="2AD07AC4" w:rsidR="006F6B2B" w:rsidRPr="004F744A" w:rsidRDefault="00FB4EDD" w:rsidP="004F744A">
      <w:pPr>
        <w:pStyle w:val="PargrafodaLista"/>
        <w:numPr>
          <w:ilvl w:val="1"/>
          <w:numId w:val="10"/>
        </w:numPr>
        <w:spacing w:line="360" w:lineRule="auto"/>
        <w:jc w:val="both"/>
        <w:rPr>
          <w:rFonts w:asciiTheme="majorHAnsi" w:hAnsiTheme="majorHAnsi" w:cstheme="majorHAnsi"/>
          <w:b/>
          <w:sz w:val="28"/>
          <w:lang w:val="pt-BR"/>
        </w:rPr>
      </w:pPr>
      <w:r w:rsidRPr="004F744A">
        <w:rPr>
          <w:rFonts w:asciiTheme="majorHAnsi" w:hAnsiTheme="majorHAnsi" w:cstheme="majorHAnsi"/>
          <w:b/>
          <w:sz w:val="28"/>
          <w:lang w:val="pt-BR"/>
        </w:rPr>
        <w:lastRenderedPageBreak/>
        <w:t>Repactuação de Dívidas e a Lei nº 14.181/2021</w:t>
      </w:r>
    </w:p>
    <w:p w14:paraId="28A6691F" w14:textId="692A4C60" w:rsidR="004F744A" w:rsidRDefault="004F744A" w:rsidP="004F744A">
      <w:pPr>
        <w:pStyle w:val="PargrafodaLista"/>
        <w:spacing w:line="360" w:lineRule="auto"/>
        <w:ind w:left="615"/>
        <w:jc w:val="both"/>
        <w:rPr>
          <w:rFonts w:asciiTheme="majorHAnsi" w:hAnsiTheme="majorHAnsi" w:cstheme="majorHAnsi"/>
          <w:b/>
          <w:sz w:val="28"/>
          <w:lang w:val="pt-BR"/>
        </w:rPr>
      </w:pPr>
    </w:p>
    <w:p w14:paraId="1055B410" w14:textId="244886B9" w:rsidR="002A22DF" w:rsidRDefault="00FB4EDD" w:rsidP="002A22DF">
      <w:pPr>
        <w:spacing w:line="360" w:lineRule="auto"/>
        <w:ind w:firstLine="993"/>
        <w:jc w:val="both"/>
        <w:rPr>
          <w:rFonts w:ascii="Arial" w:hAnsi="Arial" w:cs="Arial"/>
          <w:sz w:val="24"/>
          <w:lang w:val="pt-BR"/>
        </w:rPr>
      </w:pPr>
      <w:r w:rsidRPr="003F29C5">
        <w:rPr>
          <w:rFonts w:ascii="Arial" w:hAnsi="Arial" w:cs="Arial"/>
          <w:sz w:val="24"/>
          <w:lang w:val="pt-BR"/>
        </w:rPr>
        <w:t xml:space="preserve">A Lei do Superendividamento possibilita que consumidores renegociem suas dívidas com condições mais justas. Segundo </w:t>
      </w:r>
      <w:r w:rsidR="00365302" w:rsidRPr="00365302">
        <w:rPr>
          <w:rFonts w:ascii="Arial" w:hAnsi="Arial" w:cs="Arial"/>
          <w:sz w:val="24"/>
          <w:lang w:val="pt-BR"/>
        </w:rPr>
        <w:t>o Conselho Nacional de Justiça (2022)</w:t>
      </w:r>
      <w:r w:rsidRPr="003F29C5">
        <w:rPr>
          <w:rFonts w:ascii="Arial" w:hAnsi="Arial" w:cs="Arial"/>
          <w:sz w:val="24"/>
          <w:lang w:val="pt-BR"/>
        </w:rPr>
        <w:t xml:space="preserve">, a legislação representa um avanço significativo na proteção dos consumidores e na promoção de soluções sustentáveis para a recuperação financeira. </w:t>
      </w:r>
    </w:p>
    <w:p w14:paraId="473D5FB1" w14:textId="77777777" w:rsidR="00E04239" w:rsidRDefault="00E04239" w:rsidP="002A22DF">
      <w:pPr>
        <w:spacing w:line="360" w:lineRule="auto"/>
        <w:ind w:firstLine="993"/>
        <w:jc w:val="both"/>
        <w:rPr>
          <w:rFonts w:ascii="Arial" w:hAnsi="Arial" w:cs="Arial"/>
          <w:sz w:val="24"/>
          <w:lang w:val="pt-BR"/>
        </w:rPr>
      </w:pPr>
    </w:p>
    <w:p w14:paraId="45546FD7" w14:textId="42E982E8" w:rsidR="002A22DF" w:rsidRPr="00E0183E" w:rsidRDefault="002A22DF" w:rsidP="002A22DF">
      <w:pPr>
        <w:spacing w:line="360" w:lineRule="auto"/>
        <w:ind w:left="2268"/>
        <w:jc w:val="both"/>
        <w:rPr>
          <w:rFonts w:ascii="Arial" w:hAnsi="Arial" w:cs="Arial"/>
          <w:sz w:val="20"/>
          <w:szCs w:val="20"/>
          <w:lang w:val="pt-BR"/>
        </w:rPr>
      </w:pPr>
      <w:r w:rsidRPr="00E0183E">
        <w:rPr>
          <w:rFonts w:ascii="Arial" w:hAnsi="Arial" w:cs="Arial"/>
          <w:sz w:val="20"/>
          <w:szCs w:val="20"/>
          <w:lang w:val="pt-BR"/>
        </w:rPr>
        <w:t xml:space="preserve">“A prática de assédio é atentatória e lesiva ao consumidor não só na oferta do crédito, mas em relação à oferta de todos os produtos e serviços, sendo considerado, por isso, novo tipo de dano: ‘dano de assédio’. O CDC reconhece a necessidade de proteção especial dos consumidores crianças, que são hipervulneráveis frente às atividades de comunicação mercadológica” </w:t>
      </w:r>
      <w:r w:rsidRPr="00A5238F">
        <w:rPr>
          <w:rFonts w:ascii="Arial" w:hAnsi="Arial" w:cs="Arial"/>
          <w:sz w:val="20"/>
          <w:szCs w:val="20"/>
          <w:lang w:val="pt-BR"/>
        </w:rPr>
        <w:t>(MARTINS; D’AQUINO, 2021, p. 389).</w:t>
      </w:r>
    </w:p>
    <w:p w14:paraId="1AB03368" w14:textId="14F73247" w:rsidR="00C427CD" w:rsidRPr="00D90984" w:rsidRDefault="00A422D0" w:rsidP="00C427CD">
      <w:pPr>
        <w:spacing w:line="360" w:lineRule="auto"/>
        <w:ind w:firstLine="993"/>
        <w:jc w:val="both"/>
        <w:rPr>
          <w:rFonts w:ascii="Arial" w:hAnsi="Arial" w:cs="Arial"/>
          <w:sz w:val="24"/>
          <w:lang w:val="pt-BR"/>
        </w:rPr>
      </w:pPr>
      <w:r>
        <w:rPr>
          <w:rFonts w:ascii="Arial" w:hAnsi="Arial" w:cs="Arial"/>
          <w:sz w:val="24"/>
          <w:lang w:val="pt-BR"/>
        </w:rPr>
        <w:t>Ainda s</w:t>
      </w:r>
      <w:r w:rsidRPr="003F29C5">
        <w:rPr>
          <w:rFonts w:ascii="Arial" w:hAnsi="Arial" w:cs="Arial"/>
          <w:sz w:val="24"/>
          <w:lang w:val="pt-BR"/>
        </w:rPr>
        <w:t xml:space="preserve">egundo </w:t>
      </w:r>
      <w:r w:rsidRPr="00365302">
        <w:rPr>
          <w:rFonts w:ascii="Arial" w:hAnsi="Arial" w:cs="Arial"/>
          <w:sz w:val="24"/>
          <w:lang w:val="pt-BR"/>
        </w:rPr>
        <w:t>o Conselho Nacional de Justiça (2022)</w:t>
      </w:r>
      <w:r>
        <w:rPr>
          <w:rFonts w:ascii="Arial" w:hAnsi="Arial" w:cs="Arial"/>
          <w:sz w:val="24"/>
          <w:lang w:val="pt-BR"/>
        </w:rPr>
        <w:t xml:space="preserve">, </w:t>
      </w:r>
      <w:r w:rsidR="009056AF" w:rsidRPr="00D90984">
        <w:rPr>
          <w:rFonts w:ascii="Arial" w:hAnsi="Arial" w:cs="Arial"/>
          <w:sz w:val="24"/>
          <w:lang w:val="pt-BR"/>
        </w:rPr>
        <w:t>o</w:t>
      </w:r>
      <w:r w:rsidR="00C427CD" w:rsidRPr="00D90984">
        <w:rPr>
          <w:rFonts w:ascii="Arial" w:hAnsi="Arial" w:cs="Arial"/>
          <w:sz w:val="24"/>
          <w:lang w:val="pt-BR"/>
        </w:rPr>
        <w:t xml:space="preserve"> mínimo existencial não trata apenas de garantir ao ser humano um mínimo vital</w:t>
      </w:r>
      <w:r>
        <w:rPr>
          <w:rFonts w:ascii="Arial" w:hAnsi="Arial" w:cs="Arial"/>
          <w:sz w:val="24"/>
          <w:lang w:val="pt-BR"/>
        </w:rPr>
        <w:t>,</w:t>
      </w:r>
      <w:r w:rsidR="00C427CD" w:rsidRPr="00D90984">
        <w:rPr>
          <w:rFonts w:ascii="Arial" w:hAnsi="Arial" w:cs="Arial"/>
          <w:sz w:val="24"/>
          <w:lang w:val="pt-BR"/>
        </w:rPr>
        <w:t xml:space="preserve"> mas um mínimo de qualidade de vida, </w:t>
      </w:r>
      <w:r w:rsidR="00BA1F85" w:rsidRPr="00D90984">
        <w:rPr>
          <w:rFonts w:ascii="Arial" w:hAnsi="Arial" w:cs="Arial"/>
          <w:sz w:val="24"/>
          <w:lang w:val="pt-BR"/>
        </w:rPr>
        <w:t>que</w:t>
      </w:r>
      <w:r w:rsidR="00C427CD" w:rsidRPr="00D90984">
        <w:rPr>
          <w:rFonts w:ascii="Arial" w:hAnsi="Arial" w:cs="Arial"/>
          <w:sz w:val="24"/>
          <w:lang w:val="pt-BR"/>
        </w:rPr>
        <w:t xml:space="preserve"> lhe permita viver com dignidade, tendo a oportunidade de exercer a sua liberdade no plano individual</w:t>
      </w:r>
      <w:r>
        <w:rPr>
          <w:rFonts w:ascii="Arial" w:hAnsi="Arial" w:cs="Arial"/>
          <w:sz w:val="24"/>
          <w:lang w:val="pt-BR"/>
        </w:rPr>
        <w:t>.</w:t>
      </w:r>
      <w:r w:rsidR="00CD42C8" w:rsidRPr="00D90984">
        <w:rPr>
          <w:rFonts w:ascii="Arial" w:hAnsi="Arial" w:cs="Arial"/>
          <w:sz w:val="24"/>
          <w:lang w:val="pt-BR"/>
        </w:rPr>
        <w:t xml:space="preserve"> </w:t>
      </w:r>
      <w:r>
        <w:rPr>
          <w:rFonts w:ascii="Arial" w:hAnsi="Arial" w:cs="Arial"/>
          <w:sz w:val="24"/>
          <w:lang w:val="pt-BR"/>
        </w:rPr>
        <w:t xml:space="preserve">O documento afirma que </w:t>
      </w:r>
      <w:r w:rsidR="0040468D" w:rsidRPr="00D90984">
        <w:rPr>
          <w:rFonts w:ascii="Arial" w:hAnsi="Arial" w:cs="Arial"/>
          <w:sz w:val="24"/>
          <w:lang w:val="pt-BR"/>
        </w:rPr>
        <w:t>o</w:t>
      </w:r>
      <w:r w:rsidR="00C427CD" w:rsidRPr="00D90984">
        <w:rPr>
          <w:rFonts w:ascii="Arial" w:hAnsi="Arial" w:cs="Arial"/>
          <w:sz w:val="24"/>
          <w:lang w:val="pt-BR"/>
        </w:rPr>
        <w:t xml:space="preserve"> mínimo existencial é composto por dois elementos principais: os direitos fundamentais sociais e a dignidade da pessoa </w:t>
      </w:r>
      <w:r w:rsidR="00BA1F85" w:rsidRPr="00D90984">
        <w:rPr>
          <w:rFonts w:ascii="Arial" w:hAnsi="Arial" w:cs="Arial"/>
          <w:sz w:val="24"/>
          <w:lang w:val="pt-BR"/>
        </w:rPr>
        <w:t>humana</w:t>
      </w:r>
      <w:r w:rsidR="0040468D" w:rsidRPr="00D90984">
        <w:rPr>
          <w:rFonts w:ascii="Arial" w:hAnsi="Arial" w:cs="Arial"/>
          <w:sz w:val="24"/>
          <w:lang w:val="pt-BR"/>
        </w:rPr>
        <w:t>.</w:t>
      </w:r>
    </w:p>
    <w:p w14:paraId="231F3EC9" w14:textId="00B86CF4" w:rsidR="002A22DF" w:rsidRDefault="000A2143" w:rsidP="002A22DF">
      <w:pPr>
        <w:spacing w:line="360" w:lineRule="auto"/>
        <w:ind w:firstLine="993"/>
        <w:jc w:val="both"/>
        <w:rPr>
          <w:rFonts w:ascii="Arial" w:hAnsi="Arial" w:cs="Arial"/>
          <w:sz w:val="24"/>
          <w:lang w:val="pt-BR"/>
        </w:rPr>
      </w:pPr>
      <w:r w:rsidRPr="000A2143">
        <w:rPr>
          <w:rFonts w:ascii="Arial" w:hAnsi="Arial" w:cs="Arial"/>
          <w:sz w:val="24"/>
          <w:lang w:val="pt-BR"/>
        </w:rPr>
        <w:t>Por fim, percebe-se que a repactuação de dívidas, amparada pela Lei nº 14.181/2021, constitui um instrumento jurídico e social que busca restabelecer o equilíbrio contratual entre credores e devedores, garantindo ao consumidor superendividado a preservação do mínimo existencial e a possibilidade de reorganizar suas finanças sem comprometer sua dignidade. Tal mecanismo não apenas promove a recuperação econômica individual, mas também contribui para a estabilidade social e para a redução da inadimplência no mercado de consumo. Dessa forma, o sucesso da repactuação depende da conjugação entre a aplicação efetiva da lei, a boa-fé das partes e a adoção de práticas de educação financeira que auxiliem na prevenção de novos ciclos de endividamento.</w:t>
      </w:r>
    </w:p>
    <w:p w14:paraId="1AA9B4F1" w14:textId="5CDB095A" w:rsidR="001E3F02" w:rsidRDefault="001E3F02" w:rsidP="00BE2102">
      <w:pPr>
        <w:spacing w:line="360" w:lineRule="auto"/>
        <w:ind w:firstLine="709"/>
        <w:jc w:val="both"/>
        <w:rPr>
          <w:rFonts w:ascii="Arial" w:hAnsi="Arial" w:cs="Arial"/>
          <w:sz w:val="24"/>
          <w:lang w:val="pt-BR"/>
        </w:rPr>
      </w:pPr>
    </w:p>
    <w:p w14:paraId="1626CCDF" w14:textId="77777777" w:rsidR="00FE006E" w:rsidRDefault="00FE006E" w:rsidP="00BE2102">
      <w:pPr>
        <w:spacing w:line="360" w:lineRule="auto"/>
        <w:ind w:firstLine="709"/>
        <w:jc w:val="both"/>
        <w:rPr>
          <w:rFonts w:ascii="Arial" w:hAnsi="Arial" w:cs="Arial"/>
          <w:sz w:val="24"/>
          <w:lang w:val="pt-BR"/>
        </w:rPr>
      </w:pPr>
    </w:p>
    <w:p w14:paraId="62FB4DAE" w14:textId="77777777" w:rsidR="00E04239" w:rsidRPr="00E04239" w:rsidRDefault="00E04239" w:rsidP="00E04239">
      <w:pPr>
        <w:keepNext/>
        <w:keepLines/>
        <w:spacing w:before="480" w:after="0"/>
        <w:outlineLvl w:val="0"/>
        <w:rPr>
          <w:rFonts w:asciiTheme="majorHAnsi" w:eastAsiaTheme="majorEastAsia" w:hAnsiTheme="majorHAnsi" w:cstheme="majorBidi"/>
          <w:b/>
          <w:bCs/>
          <w:color w:val="000000" w:themeColor="text1"/>
          <w:sz w:val="28"/>
          <w:szCs w:val="28"/>
          <w:lang w:val="pt-BR"/>
        </w:rPr>
      </w:pPr>
      <w:bookmarkStart w:id="3" w:name="_Toc209795844"/>
      <w:r w:rsidRPr="00E04239">
        <w:rPr>
          <w:rFonts w:asciiTheme="majorHAnsi" w:eastAsiaTheme="majorEastAsia" w:hAnsiTheme="majorHAnsi" w:cstheme="majorBidi"/>
          <w:b/>
          <w:bCs/>
          <w:color w:val="000000" w:themeColor="text1"/>
          <w:sz w:val="28"/>
          <w:szCs w:val="28"/>
          <w:lang w:val="pt-BR"/>
        </w:rPr>
        <w:t>METODOLOGIA</w:t>
      </w:r>
      <w:bookmarkEnd w:id="3"/>
    </w:p>
    <w:p w14:paraId="5DDFF110" w14:textId="77777777" w:rsidR="00E04239" w:rsidRPr="00E04239" w:rsidRDefault="00E04239" w:rsidP="00E04239">
      <w:pPr>
        <w:spacing w:line="360" w:lineRule="auto"/>
        <w:ind w:firstLine="709"/>
        <w:jc w:val="both"/>
        <w:rPr>
          <w:rFonts w:ascii="Arial" w:hAnsi="Arial" w:cs="Arial"/>
          <w:sz w:val="24"/>
          <w:lang w:val="pt-BR"/>
        </w:rPr>
      </w:pPr>
      <w:r w:rsidRPr="00E04239">
        <w:rPr>
          <w:rFonts w:ascii="Arial" w:hAnsi="Arial" w:cs="Arial"/>
          <w:sz w:val="24"/>
          <w:lang w:val="pt-BR"/>
        </w:rPr>
        <w:t>A presente pesquisa adota uma abordagem mista, combinando métodos qualitativos e quantitativos, a fim de proporcionar uma análise mais ampla e aprofundada sobre o tema. Inicialmente, realizamos uma revisão bibliográfica sistemática, com o intuito de reunir e analisar a produção científica existente sobre planejamento financeiro pessoal, educação financeira e a Lei nº 14.181/2021, conhecida como a Lei do Superendividamento. A revisão inclui artigos acadêmicos, livros especializados e a legislação vigente, buscando fundamentar teoricamente os conceitos e práticas abordados ao longo do estudo.</w:t>
      </w:r>
    </w:p>
    <w:p w14:paraId="732FDF61" w14:textId="77777777" w:rsidR="00E04239" w:rsidRPr="00E04239" w:rsidRDefault="00E04239" w:rsidP="00E04239">
      <w:pPr>
        <w:spacing w:line="360" w:lineRule="auto"/>
        <w:ind w:firstLine="709"/>
        <w:jc w:val="both"/>
        <w:rPr>
          <w:rFonts w:ascii="Arial" w:hAnsi="Arial" w:cs="Arial"/>
          <w:sz w:val="24"/>
          <w:lang w:val="pt-BR"/>
        </w:rPr>
      </w:pPr>
      <w:r w:rsidRPr="00E04239">
        <w:rPr>
          <w:rFonts w:ascii="Arial" w:hAnsi="Arial" w:cs="Arial"/>
          <w:sz w:val="24"/>
          <w:lang w:val="pt-BR"/>
        </w:rPr>
        <w:t>Na etapa quantitativa, elaboramos e aplicamos um questionário estruturado com perguntas fechadas e abertas, voltado a um grupo de consumidores com perfil financeiro ativo, ou seja, pessoas com idade legal para exercer contratos, que possuem responsabilidades financeiras e participam do mercado de consumo. O objetivo dessa aplicação foi verificar o nível de endividamento, avaliar o grau de conhecimento sobre a Lei nº 14.181/2021 e mensurar o interesse dos respondentes por educação financeira.</w:t>
      </w:r>
    </w:p>
    <w:p w14:paraId="0E999403" w14:textId="77777777" w:rsidR="00E04239" w:rsidRPr="00E04239" w:rsidRDefault="00E04239" w:rsidP="00E04239">
      <w:pPr>
        <w:spacing w:line="360" w:lineRule="auto"/>
        <w:ind w:firstLine="709"/>
        <w:jc w:val="both"/>
        <w:rPr>
          <w:rFonts w:ascii="Arial" w:hAnsi="Arial" w:cs="Arial"/>
          <w:sz w:val="24"/>
          <w:lang w:val="pt-BR"/>
        </w:rPr>
      </w:pPr>
      <w:r w:rsidRPr="00E04239">
        <w:rPr>
          <w:rFonts w:ascii="Arial" w:hAnsi="Arial" w:cs="Arial"/>
          <w:sz w:val="24"/>
          <w:lang w:val="pt-BR"/>
        </w:rPr>
        <w:t>Os dados coletados por meio do questionário permitiram traçar um diagnóstico do perfil financeiro dos participantes, foram escolhidas pessoas civilmente capazes e responsáveis financeiramente para identificar a ocorrência de práticas relacionadas ao superendividamento, bem como observar o quanto os consumidores estão cientes de seus direitos previstos em lei. Além disso, a análise pretende revelar a disposição dos entrevistados em adquirir conhecimentos e qual o seu posicionamento sobre a importância do planejamento financeiro como forma de prevenção ao endividamento crônico.</w:t>
      </w:r>
    </w:p>
    <w:p w14:paraId="188CD249" w14:textId="1A889F63" w:rsidR="00E04239" w:rsidRDefault="00E04239" w:rsidP="00E04239">
      <w:pPr>
        <w:spacing w:line="360" w:lineRule="auto"/>
        <w:jc w:val="both"/>
        <w:rPr>
          <w:rFonts w:ascii="Arial" w:hAnsi="Arial" w:cs="Arial"/>
          <w:sz w:val="24"/>
          <w:lang w:val="pt-BR"/>
        </w:rPr>
      </w:pPr>
    </w:p>
    <w:p w14:paraId="0B1CB623" w14:textId="77777777" w:rsidR="00007763" w:rsidRDefault="00007763" w:rsidP="00E04239">
      <w:pPr>
        <w:spacing w:line="360" w:lineRule="auto"/>
        <w:jc w:val="both"/>
        <w:rPr>
          <w:rFonts w:ascii="Arial" w:hAnsi="Arial" w:cs="Arial"/>
          <w:sz w:val="24"/>
          <w:lang w:val="pt-BR"/>
        </w:rPr>
      </w:pPr>
    </w:p>
    <w:p w14:paraId="67842432" w14:textId="77777777" w:rsidR="00007763" w:rsidRDefault="00007763" w:rsidP="00E04239">
      <w:pPr>
        <w:spacing w:line="360" w:lineRule="auto"/>
        <w:jc w:val="both"/>
        <w:rPr>
          <w:rFonts w:ascii="Arial" w:hAnsi="Arial" w:cs="Arial"/>
          <w:sz w:val="24"/>
          <w:lang w:val="pt-BR"/>
        </w:rPr>
      </w:pPr>
    </w:p>
    <w:p w14:paraId="536D76F1" w14:textId="77777777" w:rsidR="00007763" w:rsidRDefault="00007763" w:rsidP="00E04239">
      <w:pPr>
        <w:spacing w:line="360" w:lineRule="auto"/>
        <w:jc w:val="both"/>
        <w:rPr>
          <w:rFonts w:ascii="Arial" w:hAnsi="Arial" w:cs="Arial"/>
          <w:sz w:val="24"/>
          <w:lang w:val="pt-BR"/>
        </w:rPr>
      </w:pPr>
    </w:p>
    <w:p w14:paraId="2978E128" w14:textId="77777777" w:rsidR="00007763" w:rsidRDefault="00007763" w:rsidP="00E04239">
      <w:pPr>
        <w:spacing w:line="360" w:lineRule="auto"/>
        <w:jc w:val="both"/>
        <w:rPr>
          <w:rFonts w:ascii="Arial" w:hAnsi="Arial" w:cs="Arial"/>
          <w:sz w:val="24"/>
          <w:lang w:val="pt-BR"/>
        </w:rPr>
      </w:pPr>
    </w:p>
    <w:p w14:paraId="610296AA" w14:textId="08D0CB08" w:rsidR="00527E90" w:rsidRPr="009F7F75" w:rsidRDefault="00527E90" w:rsidP="009F7F75">
      <w:pPr>
        <w:pStyle w:val="Ttulo1"/>
        <w:rPr>
          <w:color w:val="000000" w:themeColor="text1"/>
          <w:lang w:val="pt-BR"/>
        </w:rPr>
      </w:pPr>
      <w:bookmarkStart w:id="4" w:name="_Toc209795845"/>
      <w:r w:rsidRPr="009F7F75">
        <w:rPr>
          <w:color w:val="000000" w:themeColor="text1"/>
          <w:lang w:val="pt-BR"/>
        </w:rPr>
        <w:t>RESULTADOS E DISCUSSÃO</w:t>
      </w:r>
      <w:bookmarkEnd w:id="4"/>
    </w:p>
    <w:p w14:paraId="4D09B079" w14:textId="307002BD" w:rsidR="00FC2B2F" w:rsidRDefault="00FC2B2F" w:rsidP="001E3F02">
      <w:pPr>
        <w:spacing w:line="360" w:lineRule="auto"/>
        <w:jc w:val="both"/>
        <w:rPr>
          <w:rFonts w:ascii="Arial" w:hAnsi="Arial" w:cs="Arial"/>
          <w:b/>
          <w:sz w:val="24"/>
          <w:lang w:val="pt-BR"/>
        </w:rPr>
      </w:pPr>
    </w:p>
    <w:p w14:paraId="47F8C0E6" w14:textId="1E5CEDDD" w:rsidR="002A22DF" w:rsidRDefault="002A22DF" w:rsidP="002A22DF">
      <w:pPr>
        <w:spacing w:line="360" w:lineRule="auto"/>
        <w:ind w:firstLine="567"/>
        <w:jc w:val="both"/>
        <w:rPr>
          <w:rFonts w:ascii="Arial" w:hAnsi="Arial" w:cs="Arial"/>
          <w:sz w:val="24"/>
          <w:lang w:val="pt-BR"/>
        </w:rPr>
      </w:pPr>
      <w:r w:rsidRPr="002A22DF">
        <w:rPr>
          <w:rFonts w:ascii="Arial" w:hAnsi="Arial" w:cs="Arial"/>
          <w:sz w:val="24"/>
          <w:lang w:val="pt-BR"/>
        </w:rPr>
        <w:t>O</w:t>
      </w:r>
      <w:r>
        <w:rPr>
          <w:rFonts w:ascii="Arial" w:hAnsi="Arial" w:cs="Arial"/>
          <w:sz w:val="24"/>
          <w:lang w:val="pt-BR"/>
        </w:rPr>
        <w:t>s</w:t>
      </w:r>
      <w:r w:rsidRPr="002A22DF">
        <w:rPr>
          <w:rFonts w:ascii="Arial" w:hAnsi="Arial" w:cs="Arial"/>
          <w:sz w:val="24"/>
          <w:lang w:val="pt-BR"/>
        </w:rPr>
        <w:t xml:space="preserve"> gráfico</w:t>
      </w:r>
      <w:r>
        <w:rPr>
          <w:rFonts w:ascii="Arial" w:hAnsi="Arial" w:cs="Arial"/>
          <w:sz w:val="24"/>
          <w:lang w:val="pt-BR"/>
        </w:rPr>
        <w:t>s</w:t>
      </w:r>
      <w:r w:rsidRPr="002A22DF">
        <w:rPr>
          <w:rFonts w:ascii="Arial" w:hAnsi="Arial" w:cs="Arial"/>
          <w:sz w:val="24"/>
          <w:lang w:val="pt-BR"/>
        </w:rPr>
        <w:t xml:space="preserve"> a seguir apresenta</w:t>
      </w:r>
      <w:r>
        <w:rPr>
          <w:rFonts w:ascii="Arial" w:hAnsi="Arial" w:cs="Arial"/>
          <w:sz w:val="24"/>
          <w:lang w:val="pt-BR"/>
        </w:rPr>
        <w:t>m</w:t>
      </w:r>
      <w:r w:rsidRPr="002A22DF">
        <w:rPr>
          <w:rFonts w:ascii="Arial" w:hAnsi="Arial" w:cs="Arial"/>
          <w:sz w:val="24"/>
          <w:lang w:val="pt-BR"/>
        </w:rPr>
        <w:t xml:space="preserve"> a </w:t>
      </w:r>
      <w:r>
        <w:rPr>
          <w:rFonts w:ascii="Arial" w:hAnsi="Arial" w:cs="Arial"/>
          <w:sz w:val="24"/>
          <w:lang w:val="pt-BR"/>
        </w:rPr>
        <w:t>for</w:t>
      </w:r>
      <w:r w:rsidR="00072186">
        <w:rPr>
          <w:rFonts w:ascii="Arial" w:hAnsi="Arial" w:cs="Arial"/>
          <w:sz w:val="24"/>
          <w:lang w:val="pt-BR"/>
        </w:rPr>
        <w:t xml:space="preserve">ma de organização financeira do </w:t>
      </w:r>
      <w:r>
        <w:rPr>
          <w:rFonts w:ascii="Arial" w:hAnsi="Arial" w:cs="Arial"/>
          <w:sz w:val="24"/>
          <w:lang w:val="pt-BR"/>
        </w:rPr>
        <w:t xml:space="preserve">participantes, a porcentagem de renda comprometida, informação legislativa, </w:t>
      </w:r>
      <w:r w:rsidR="003C5693">
        <w:rPr>
          <w:rFonts w:ascii="Arial" w:hAnsi="Arial" w:cs="Arial"/>
          <w:sz w:val="24"/>
          <w:lang w:val="pt-BR"/>
        </w:rPr>
        <w:t>c</w:t>
      </w:r>
      <w:r w:rsidR="00255566" w:rsidRPr="00255566">
        <w:rPr>
          <w:rFonts w:ascii="Arial" w:hAnsi="Arial" w:cs="Arial"/>
          <w:sz w:val="24"/>
          <w:lang w:val="pt-BR"/>
        </w:rPr>
        <w:t xml:space="preserve">onhecimento sobre </w:t>
      </w:r>
      <w:r w:rsidR="003C5693">
        <w:rPr>
          <w:rFonts w:ascii="Arial" w:hAnsi="Arial" w:cs="Arial"/>
          <w:sz w:val="24"/>
          <w:lang w:val="pt-BR"/>
        </w:rPr>
        <w:t>como proceder</w:t>
      </w:r>
      <w:r w:rsidR="00255566" w:rsidRPr="00255566">
        <w:rPr>
          <w:rFonts w:ascii="Arial" w:hAnsi="Arial" w:cs="Arial"/>
          <w:sz w:val="24"/>
          <w:lang w:val="pt-BR"/>
        </w:rPr>
        <w:t xml:space="preserve"> em situações de superendividamento</w:t>
      </w:r>
      <w:r w:rsidR="00255566">
        <w:rPr>
          <w:rFonts w:ascii="Arial" w:hAnsi="Arial" w:cs="Arial"/>
          <w:sz w:val="24"/>
          <w:lang w:val="pt-BR"/>
        </w:rPr>
        <w:t xml:space="preserve"> e a opinião sobre o tema da educação financeira nas escolas.</w:t>
      </w:r>
      <w:r w:rsidRPr="002A22DF">
        <w:rPr>
          <w:rFonts w:ascii="Arial" w:hAnsi="Arial" w:cs="Arial"/>
          <w:sz w:val="24"/>
          <w:lang w:val="pt-BR"/>
        </w:rPr>
        <w:t xml:space="preserve"> Essa visualização fornece uma base clara para compreender a relação entre hábitos de consumo</w:t>
      </w:r>
      <w:r w:rsidR="003C5693">
        <w:rPr>
          <w:rFonts w:ascii="Arial" w:hAnsi="Arial" w:cs="Arial"/>
          <w:sz w:val="24"/>
          <w:lang w:val="pt-BR"/>
        </w:rPr>
        <w:t xml:space="preserve"> dos participantes</w:t>
      </w:r>
      <w:r w:rsidRPr="002A22DF">
        <w:rPr>
          <w:rFonts w:ascii="Arial" w:hAnsi="Arial" w:cs="Arial"/>
          <w:sz w:val="24"/>
          <w:lang w:val="pt-BR"/>
        </w:rPr>
        <w:t xml:space="preserve">, planejamento financeiro e a </w:t>
      </w:r>
      <w:r w:rsidR="003C5693">
        <w:rPr>
          <w:rFonts w:ascii="Arial" w:hAnsi="Arial" w:cs="Arial"/>
          <w:sz w:val="24"/>
          <w:lang w:val="pt-BR"/>
        </w:rPr>
        <w:t>importância da educação financeira e</w:t>
      </w:r>
      <w:r w:rsidRPr="002A22DF">
        <w:rPr>
          <w:rFonts w:ascii="Arial" w:hAnsi="Arial" w:cs="Arial"/>
          <w:sz w:val="24"/>
          <w:lang w:val="pt-BR"/>
        </w:rPr>
        <w:t xml:space="preserve"> medidas de proteção ao consumidor.</w:t>
      </w:r>
    </w:p>
    <w:p w14:paraId="04DF71C8" w14:textId="77777777" w:rsidR="00007763" w:rsidRDefault="00007763" w:rsidP="002A22DF">
      <w:pPr>
        <w:spacing w:line="360" w:lineRule="auto"/>
        <w:ind w:firstLine="567"/>
        <w:jc w:val="both"/>
        <w:rPr>
          <w:rFonts w:ascii="Arial" w:hAnsi="Arial" w:cs="Arial"/>
          <w:b/>
          <w:sz w:val="24"/>
          <w:lang w:val="pt-BR"/>
        </w:rPr>
      </w:pPr>
    </w:p>
    <w:p w14:paraId="5425C920" w14:textId="3382D655" w:rsidR="00FC2B2F" w:rsidRPr="00DD293A" w:rsidRDefault="00FC2B2F" w:rsidP="009F7F75">
      <w:pPr>
        <w:pStyle w:val="Ttulo3"/>
        <w:jc w:val="center"/>
        <w:rPr>
          <w:rFonts w:ascii="Arial" w:hAnsi="Arial" w:cs="Arial"/>
          <w:b w:val="0"/>
          <w:color w:val="000000" w:themeColor="text1"/>
          <w:sz w:val="20"/>
          <w:szCs w:val="20"/>
          <w:lang w:val="pt-BR"/>
        </w:rPr>
      </w:pPr>
      <w:bookmarkStart w:id="5" w:name="_Toc209795846"/>
      <w:r w:rsidRPr="00DD293A">
        <w:rPr>
          <w:rFonts w:ascii="Arial" w:hAnsi="Arial" w:cs="Arial"/>
          <w:b w:val="0"/>
          <w:color w:val="000000" w:themeColor="text1"/>
          <w:sz w:val="20"/>
          <w:szCs w:val="20"/>
          <w:lang w:val="pt-BR"/>
        </w:rPr>
        <w:t>Gráfico 1: Organizações pessoais.</w:t>
      </w:r>
      <w:bookmarkEnd w:id="5"/>
    </w:p>
    <w:p w14:paraId="7D595B9B" w14:textId="77777777" w:rsidR="00007763" w:rsidRDefault="00CD1FB2" w:rsidP="00007763">
      <w:pPr>
        <w:spacing w:line="360" w:lineRule="auto"/>
        <w:jc w:val="center"/>
        <w:rPr>
          <w:rFonts w:ascii="Arial" w:hAnsi="Arial" w:cs="Arial"/>
          <w:sz w:val="20"/>
          <w:szCs w:val="20"/>
          <w:lang w:val="pt-BR"/>
        </w:rPr>
      </w:pPr>
      <w:r w:rsidRPr="00DD293A">
        <w:rPr>
          <w:rFonts w:ascii="Arial" w:hAnsi="Arial" w:cs="Arial"/>
          <w:noProof/>
          <w:sz w:val="20"/>
          <w:szCs w:val="20"/>
        </w:rPr>
        <w:drawing>
          <wp:inline distT="0" distB="0" distL="0" distR="0" wp14:anchorId="30491B55" wp14:editId="39A1FFCA">
            <wp:extent cx="4943475" cy="2524125"/>
            <wp:effectExtent l="57150" t="76200" r="123825" b="1238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C83A93D" w14:textId="681C3CFF" w:rsidR="00BE2102" w:rsidRPr="00DD293A" w:rsidRDefault="00BE2102" w:rsidP="00007763">
      <w:pPr>
        <w:spacing w:line="360" w:lineRule="auto"/>
        <w:jc w:val="center"/>
        <w:rPr>
          <w:rFonts w:ascii="Arial" w:hAnsi="Arial" w:cs="Arial"/>
          <w:sz w:val="20"/>
          <w:szCs w:val="20"/>
          <w:lang w:val="pt-BR"/>
        </w:rPr>
      </w:pPr>
      <w:r w:rsidRPr="00DD293A">
        <w:rPr>
          <w:rFonts w:ascii="Arial" w:hAnsi="Arial" w:cs="Arial"/>
          <w:sz w:val="20"/>
          <w:szCs w:val="20"/>
          <w:lang w:val="pt-BR"/>
        </w:rPr>
        <w:t>Fonte: Dados obtidos através da pesquisa feita em campo</w:t>
      </w:r>
    </w:p>
    <w:p w14:paraId="0206B0A7" w14:textId="333CA620" w:rsidR="00081E0E" w:rsidRPr="00081E0E" w:rsidRDefault="00081E0E" w:rsidP="00BE2102">
      <w:pPr>
        <w:spacing w:line="360" w:lineRule="auto"/>
        <w:ind w:firstLine="709"/>
        <w:jc w:val="both"/>
        <w:rPr>
          <w:rFonts w:ascii="Arial" w:hAnsi="Arial" w:cs="Arial"/>
          <w:sz w:val="24"/>
          <w:lang w:val="pt-BR"/>
        </w:rPr>
      </w:pPr>
      <w:r w:rsidRPr="00081E0E">
        <w:rPr>
          <w:rFonts w:ascii="Arial" w:hAnsi="Arial" w:cs="Arial"/>
          <w:sz w:val="24"/>
          <w:lang w:val="pt-BR"/>
        </w:rPr>
        <w:t>Podemos identificar que cerca de 60% dos entrevistados costumam utilizar algum tipo de ajuda para controlar os seus gastos mensais. Considerando que 25% não utiliza nenhum meio, conseguimos entender que há sim um def</w:t>
      </w:r>
      <w:r>
        <w:rPr>
          <w:rFonts w:ascii="Arial" w:hAnsi="Arial" w:cs="Arial"/>
          <w:sz w:val="24"/>
          <w:lang w:val="pt-BR"/>
        </w:rPr>
        <w:t>i</w:t>
      </w:r>
      <w:r w:rsidRPr="00081E0E">
        <w:rPr>
          <w:rFonts w:ascii="Arial" w:hAnsi="Arial" w:cs="Arial"/>
          <w:sz w:val="24"/>
          <w:lang w:val="pt-BR"/>
        </w:rPr>
        <w:t>t na população sobre como identificar e organizar seus gastos mensais.</w:t>
      </w:r>
    </w:p>
    <w:p w14:paraId="2B8F9976" w14:textId="77777777" w:rsidR="00634704" w:rsidRDefault="00634704" w:rsidP="00BB686C">
      <w:pPr>
        <w:spacing w:line="360" w:lineRule="auto"/>
        <w:ind w:firstLine="993"/>
        <w:jc w:val="both"/>
        <w:rPr>
          <w:rFonts w:ascii="Arial" w:hAnsi="Arial" w:cs="Arial"/>
          <w:b/>
          <w:sz w:val="24"/>
          <w:lang w:val="pt-BR"/>
        </w:rPr>
      </w:pPr>
    </w:p>
    <w:p w14:paraId="0C59B14D" w14:textId="77777777" w:rsidR="00007763" w:rsidRDefault="00FC2B2F" w:rsidP="00007763">
      <w:pPr>
        <w:spacing w:line="360" w:lineRule="auto"/>
        <w:jc w:val="center"/>
        <w:rPr>
          <w:rFonts w:ascii="Arial" w:hAnsi="Arial" w:cs="Arial"/>
          <w:i/>
          <w:sz w:val="20"/>
          <w:szCs w:val="20"/>
          <w:lang w:val="pt-BR"/>
        </w:rPr>
      </w:pPr>
      <w:bookmarkStart w:id="6" w:name="_Toc209795847"/>
      <w:r w:rsidRPr="00DD293A">
        <w:rPr>
          <w:rStyle w:val="Ttulo3Char"/>
          <w:rFonts w:ascii="Arial" w:hAnsi="Arial" w:cs="Arial"/>
          <w:b w:val="0"/>
          <w:color w:val="000000" w:themeColor="text1"/>
          <w:sz w:val="20"/>
          <w:szCs w:val="20"/>
          <w:lang w:val="pt-BR"/>
        </w:rPr>
        <w:lastRenderedPageBreak/>
        <w:t>Gráfico 2: Porcentagem de renda comprometida</w:t>
      </w:r>
      <w:bookmarkEnd w:id="6"/>
      <w:r w:rsidRPr="00DD293A">
        <w:rPr>
          <w:rFonts w:ascii="Arial" w:hAnsi="Arial" w:cs="Arial"/>
          <w:i/>
          <w:sz w:val="20"/>
          <w:szCs w:val="20"/>
          <w:lang w:val="pt-BR"/>
        </w:rPr>
        <w:t>.</w:t>
      </w:r>
      <w:r w:rsidRPr="00DD293A">
        <w:rPr>
          <w:rFonts w:ascii="Arial" w:hAnsi="Arial" w:cs="Arial"/>
          <w:noProof/>
          <w:sz w:val="20"/>
          <w:szCs w:val="20"/>
        </w:rPr>
        <w:drawing>
          <wp:inline distT="0" distB="0" distL="0" distR="0" wp14:anchorId="5CE52456" wp14:editId="4EEA1E4D">
            <wp:extent cx="4842344" cy="2138901"/>
            <wp:effectExtent l="38100" t="57150" r="130175" b="12827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0E5C2E" w14:textId="67F38919" w:rsidR="00BE2102" w:rsidRPr="00007763" w:rsidRDefault="00BE2102" w:rsidP="00007763">
      <w:pPr>
        <w:spacing w:line="360" w:lineRule="auto"/>
        <w:jc w:val="center"/>
        <w:rPr>
          <w:rFonts w:ascii="Arial" w:hAnsi="Arial" w:cs="Arial"/>
          <w:i/>
          <w:sz w:val="20"/>
          <w:szCs w:val="20"/>
          <w:lang w:val="pt-BR"/>
        </w:rPr>
      </w:pPr>
      <w:r w:rsidRPr="00DD293A">
        <w:rPr>
          <w:rFonts w:ascii="Arial" w:hAnsi="Arial" w:cs="Arial"/>
          <w:sz w:val="20"/>
          <w:szCs w:val="20"/>
          <w:lang w:val="pt-BR"/>
        </w:rPr>
        <w:t>Fonte: Dados obtidos através da pesquisa feita em camp</w:t>
      </w:r>
      <w:r w:rsidR="00E4039B" w:rsidRPr="00DD293A">
        <w:rPr>
          <w:rFonts w:ascii="Arial" w:hAnsi="Arial" w:cs="Arial"/>
          <w:sz w:val="20"/>
          <w:szCs w:val="20"/>
          <w:lang w:val="pt-BR"/>
        </w:rPr>
        <w:t>o</w:t>
      </w:r>
    </w:p>
    <w:p w14:paraId="51126143" w14:textId="6D4BB0A8" w:rsidR="00634704" w:rsidRPr="00634704" w:rsidRDefault="00634704" w:rsidP="00D747BA">
      <w:pPr>
        <w:spacing w:line="360" w:lineRule="auto"/>
        <w:ind w:firstLine="567"/>
        <w:rPr>
          <w:rFonts w:ascii="Arial" w:hAnsi="Arial" w:cs="Arial"/>
          <w:sz w:val="24"/>
          <w:lang w:val="pt-BR"/>
        </w:rPr>
      </w:pPr>
      <w:r w:rsidRPr="00634704">
        <w:rPr>
          <w:rFonts w:ascii="Arial" w:hAnsi="Arial" w:cs="Arial"/>
          <w:sz w:val="24"/>
          <w:lang w:val="pt-BR"/>
        </w:rPr>
        <w:t>De acordo com o gráfico acima, podemos entender que das pessoas entrevistadas 44% possuem uma média entre 26% a 50% de sua renda comprometida e apenas 3% não possuem.</w:t>
      </w:r>
    </w:p>
    <w:p w14:paraId="199066E0" w14:textId="49509789" w:rsidR="00634704" w:rsidRDefault="00634704" w:rsidP="00476B70">
      <w:pPr>
        <w:spacing w:line="360" w:lineRule="auto"/>
        <w:rPr>
          <w:rFonts w:ascii="Arial" w:hAnsi="Arial" w:cs="Arial"/>
          <w:b/>
          <w:sz w:val="24"/>
          <w:lang w:val="pt-BR"/>
        </w:rPr>
      </w:pPr>
      <w:r>
        <w:rPr>
          <w:rFonts w:ascii="Arial" w:hAnsi="Arial" w:cs="Arial"/>
          <w:sz w:val="24"/>
          <w:lang w:val="pt-BR"/>
        </w:rPr>
        <w:t xml:space="preserve">Com </w:t>
      </w:r>
      <w:r w:rsidRPr="00634704">
        <w:rPr>
          <w:rFonts w:ascii="Arial" w:hAnsi="Arial" w:cs="Arial"/>
          <w:sz w:val="24"/>
          <w:lang w:val="pt-BR"/>
        </w:rPr>
        <w:t>isso</w:t>
      </w:r>
      <w:r>
        <w:rPr>
          <w:rFonts w:ascii="Arial" w:hAnsi="Arial" w:cs="Arial"/>
          <w:sz w:val="24"/>
          <w:lang w:val="pt-BR"/>
        </w:rPr>
        <w:t xml:space="preserve">, concluímos </w:t>
      </w:r>
      <w:r w:rsidRPr="00634704">
        <w:rPr>
          <w:rFonts w:ascii="Arial" w:hAnsi="Arial" w:cs="Arial"/>
          <w:sz w:val="24"/>
          <w:lang w:val="pt-BR"/>
        </w:rPr>
        <w:t>que o controle financeiro precisa ser cada vez mais estudado pois da quantidade de pessoas entrevistadas apenas 3% aparenta ter um controle financeiro dividas eficaz e mais da metade possui seu salário comprometido com 50%</w:t>
      </w:r>
      <w:r w:rsidR="00BE2102">
        <w:rPr>
          <w:rFonts w:ascii="Arial" w:hAnsi="Arial" w:cs="Arial"/>
          <w:sz w:val="24"/>
          <w:lang w:val="pt-BR"/>
        </w:rPr>
        <w:t>.</w:t>
      </w:r>
    </w:p>
    <w:p w14:paraId="50271326" w14:textId="77777777" w:rsidR="004774A8" w:rsidRDefault="004774A8" w:rsidP="00AB657F">
      <w:pPr>
        <w:rPr>
          <w:rFonts w:ascii="Arial" w:hAnsi="Arial" w:cs="Arial"/>
          <w:b/>
          <w:sz w:val="24"/>
          <w:lang w:val="pt-BR"/>
        </w:rPr>
      </w:pPr>
    </w:p>
    <w:p w14:paraId="27D1D520" w14:textId="13F0491C" w:rsidR="000E5CEA" w:rsidRPr="00DD293A" w:rsidRDefault="000E5CEA" w:rsidP="009F7F75">
      <w:pPr>
        <w:pStyle w:val="Ttulo3"/>
        <w:jc w:val="center"/>
        <w:rPr>
          <w:rFonts w:ascii="Arial" w:eastAsia="Times New Roman" w:hAnsi="Arial" w:cs="Arial"/>
          <w:b w:val="0"/>
          <w:color w:val="000000" w:themeColor="text1"/>
          <w:sz w:val="20"/>
          <w:szCs w:val="20"/>
          <w:lang w:val="pt-BR"/>
        </w:rPr>
      </w:pPr>
      <w:bookmarkStart w:id="7" w:name="_Toc209795848"/>
      <w:r w:rsidRPr="00DD293A">
        <w:rPr>
          <w:rFonts w:ascii="Arial" w:hAnsi="Arial" w:cs="Arial"/>
          <w:b w:val="0"/>
          <w:color w:val="000000" w:themeColor="text1"/>
          <w:sz w:val="20"/>
          <w:szCs w:val="20"/>
          <w:lang w:val="pt-BR"/>
        </w:rPr>
        <w:t>Gráfico 3: Informação Legislativa</w:t>
      </w:r>
      <w:bookmarkEnd w:id="7"/>
    </w:p>
    <w:p w14:paraId="53E1DC2C" w14:textId="77777777" w:rsidR="00007763" w:rsidRDefault="00FC2B2F" w:rsidP="00D747BA">
      <w:pPr>
        <w:spacing w:line="360" w:lineRule="auto"/>
        <w:jc w:val="center"/>
        <w:rPr>
          <w:rFonts w:ascii="Arial" w:hAnsi="Arial" w:cs="Arial"/>
          <w:sz w:val="20"/>
          <w:szCs w:val="20"/>
          <w:lang w:val="pt-BR"/>
        </w:rPr>
      </w:pPr>
      <w:r w:rsidRPr="00DD293A">
        <w:rPr>
          <w:rFonts w:ascii="Arial" w:hAnsi="Arial" w:cs="Arial"/>
          <w:noProof/>
          <w:sz w:val="20"/>
          <w:szCs w:val="20"/>
        </w:rPr>
        <w:drawing>
          <wp:inline distT="0" distB="0" distL="0" distR="0" wp14:anchorId="6B362997" wp14:editId="363321D9">
            <wp:extent cx="4763069" cy="2654489"/>
            <wp:effectExtent l="38100" t="57150" r="133350" b="12700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CE8762" w14:textId="1AC86552" w:rsidR="00BE2102" w:rsidRPr="00DD293A" w:rsidRDefault="00BE2102" w:rsidP="00D747BA">
      <w:pPr>
        <w:spacing w:line="360" w:lineRule="auto"/>
        <w:jc w:val="center"/>
        <w:rPr>
          <w:rFonts w:ascii="Arial" w:hAnsi="Arial" w:cs="Arial"/>
          <w:sz w:val="20"/>
          <w:szCs w:val="20"/>
          <w:lang w:val="pt-BR"/>
        </w:rPr>
      </w:pPr>
      <w:r w:rsidRPr="00DD293A">
        <w:rPr>
          <w:rFonts w:ascii="Arial" w:hAnsi="Arial" w:cs="Arial"/>
          <w:sz w:val="20"/>
          <w:szCs w:val="20"/>
          <w:lang w:val="pt-BR"/>
        </w:rPr>
        <w:t>Fonte: Dados obtidos através da pesquisa feita em campo</w:t>
      </w:r>
    </w:p>
    <w:p w14:paraId="23F42C43" w14:textId="6609DD39" w:rsidR="00BE2102" w:rsidRDefault="004774A8" w:rsidP="00007763">
      <w:pPr>
        <w:spacing w:line="360" w:lineRule="auto"/>
        <w:ind w:firstLine="567"/>
        <w:jc w:val="both"/>
        <w:rPr>
          <w:rFonts w:ascii="Arial" w:hAnsi="Arial" w:cs="Arial"/>
          <w:sz w:val="24"/>
          <w:lang w:val="pt-BR"/>
        </w:rPr>
      </w:pPr>
      <w:r>
        <w:rPr>
          <w:rFonts w:ascii="Arial" w:hAnsi="Arial" w:cs="Arial"/>
          <w:sz w:val="24"/>
          <w:lang w:val="pt-BR"/>
        </w:rPr>
        <w:lastRenderedPageBreak/>
        <w:t xml:space="preserve">Ao analisarmos o gráfico acima, notamos que um pouco mais de 80% das pessoas nunca ouviram falar na lei do superendividamento. Isso mostra o quanto é importante o conhecimento sobre finanças e conhecer a lei que pode nos auxiliar a organizar financeiramente e ajudar a sair do mínimo existencial.  </w:t>
      </w:r>
    </w:p>
    <w:p w14:paraId="2378B664" w14:textId="77777777" w:rsidR="00007763" w:rsidRDefault="00007763" w:rsidP="00007763">
      <w:pPr>
        <w:spacing w:line="360" w:lineRule="auto"/>
        <w:ind w:firstLine="567"/>
        <w:jc w:val="both"/>
        <w:rPr>
          <w:rFonts w:ascii="Arial" w:hAnsi="Arial" w:cs="Arial"/>
          <w:b/>
          <w:sz w:val="24"/>
          <w:lang w:val="pt-BR"/>
        </w:rPr>
      </w:pPr>
    </w:p>
    <w:p w14:paraId="016EC4FF" w14:textId="55C1D4A1" w:rsidR="00AB657F" w:rsidRPr="00DD293A" w:rsidRDefault="00DD293A" w:rsidP="00B56680">
      <w:pPr>
        <w:pStyle w:val="Ttulo3"/>
        <w:jc w:val="center"/>
        <w:rPr>
          <w:rFonts w:ascii="Arial" w:hAnsi="Arial" w:cs="Arial"/>
          <w:b w:val="0"/>
          <w:color w:val="000000" w:themeColor="text1"/>
          <w:lang w:val="pt-BR"/>
        </w:rPr>
      </w:pPr>
      <w:bookmarkStart w:id="8" w:name="_Toc209795849"/>
      <w:r w:rsidRPr="00DD293A">
        <w:rPr>
          <w:rFonts w:ascii="Arial" w:hAnsi="Arial" w:cs="Arial"/>
          <w:b w:val="0"/>
          <w:color w:val="000000" w:themeColor="text1"/>
          <w:sz w:val="20"/>
          <w:lang w:val="pt-BR"/>
        </w:rPr>
        <w:t>Gráf</w:t>
      </w:r>
      <w:r w:rsidR="00BE2102" w:rsidRPr="00DD293A">
        <w:rPr>
          <w:rFonts w:ascii="Arial" w:hAnsi="Arial" w:cs="Arial"/>
          <w:b w:val="0"/>
          <w:color w:val="000000" w:themeColor="text1"/>
          <w:sz w:val="20"/>
          <w:lang w:val="pt-BR"/>
        </w:rPr>
        <w:t>ico 4: Conhecimento sobre a quem recorrer em situações de superendividamento.</w:t>
      </w:r>
      <w:bookmarkEnd w:id="8"/>
    </w:p>
    <w:p w14:paraId="2DE2E63C" w14:textId="77777777" w:rsidR="00007763" w:rsidRDefault="004F42F5" w:rsidP="00B56680">
      <w:pPr>
        <w:spacing w:line="360" w:lineRule="auto"/>
        <w:jc w:val="center"/>
        <w:rPr>
          <w:rFonts w:ascii="Arial" w:hAnsi="Arial" w:cs="Arial"/>
          <w:sz w:val="20"/>
          <w:szCs w:val="20"/>
          <w:lang w:val="pt-BR"/>
        </w:rPr>
      </w:pPr>
      <w:r w:rsidRPr="00B56680">
        <w:rPr>
          <w:noProof/>
        </w:rPr>
        <w:drawing>
          <wp:inline distT="0" distB="0" distL="0" distR="0" wp14:anchorId="1ECE629B" wp14:editId="6EA9A0F5">
            <wp:extent cx="4584700" cy="2743200"/>
            <wp:effectExtent l="38100" t="57150" r="44450" b="38100"/>
            <wp:docPr id="1214477773" name="Gráfico 1">
              <a:extLst xmlns:a="http://schemas.openxmlformats.org/drawingml/2006/main">
                <a:ext uri="{FF2B5EF4-FFF2-40B4-BE49-F238E27FC236}">
                  <a16:creationId xmlns:a16="http://schemas.microsoft.com/office/drawing/2014/main" id="{028734F2-AFDA-4A52-A76B-9BE341DE2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8E9112" w14:textId="74A75E84" w:rsidR="00476B70" w:rsidRPr="00B56680" w:rsidRDefault="00476B70" w:rsidP="00B56680">
      <w:pPr>
        <w:spacing w:line="360" w:lineRule="auto"/>
        <w:jc w:val="center"/>
        <w:rPr>
          <w:rFonts w:ascii="Arial" w:hAnsi="Arial" w:cs="Arial"/>
          <w:sz w:val="24"/>
          <w:lang w:val="pt-BR"/>
        </w:rPr>
      </w:pPr>
      <w:r w:rsidRPr="00B56680">
        <w:rPr>
          <w:rFonts w:ascii="Arial" w:hAnsi="Arial" w:cs="Arial"/>
          <w:sz w:val="20"/>
          <w:szCs w:val="20"/>
          <w:lang w:val="pt-BR"/>
        </w:rPr>
        <w:t>Fonte: Dados obtidos através da pesquisa feita em campo</w:t>
      </w:r>
    </w:p>
    <w:p w14:paraId="3F5DFF7B" w14:textId="2D2B512F" w:rsidR="0013585C" w:rsidRPr="004774A8" w:rsidRDefault="0013585C" w:rsidP="0013585C">
      <w:pPr>
        <w:spacing w:line="360" w:lineRule="auto"/>
        <w:ind w:firstLine="567"/>
        <w:jc w:val="both"/>
        <w:rPr>
          <w:rFonts w:ascii="Arial" w:hAnsi="Arial" w:cs="Arial"/>
          <w:sz w:val="24"/>
          <w:lang w:val="pt-BR"/>
        </w:rPr>
      </w:pPr>
      <w:r>
        <w:rPr>
          <w:rFonts w:ascii="Arial" w:hAnsi="Arial" w:cs="Arial"/>
          <w:sz w:val="24"/>
          <w:lang w:val="pt-BR"/>
        </w:rPr>
        <w:t>De acordo com os resultados obt</w:t>
      </w:r>
      <w:r w:rsidR="00854AAA">
        <w:rPr>
          <w:rFonts w:ascii="Arial" w:hAnsi="Arial" w:cs="Arial"/>
          <w:sz w:val="24"/>
          <w:lang w:val="pt-BR"/>
        </w:rPr>
        <w:t xml:space="preserve">idos com o gráfico acima, vemos que metade das pessoas teriam para quem recorrer a um possível superendividamento, e um pouco mais da metade ou não tem ninguém ou tem dúvidas se poderia contar com a ajuda. Isso só reforça a importância </w:t>
      </w:r>
      <w:r w:rsidR="001C36A4">
        <w:rPr>
          <w:rFonts w:ascii="Arial" w:hAnsi="Arial" w:cs="Arial"/>
          <w:sz w:val="24"/>
          <w:lang w:val="pt-BR"/>
        </w:rPr>
        <w:t>de as</w:t>
      </w:r>
      <w:r w:rsidR="00854AAA">
        <w:rPr>
          <w:rFonts w:ascii="Arial" w:hAnsi="Arial" w:cs="Arial"/>
          <w:sz w:val="24"/>
          <w:lang w:val="pt-BR"/>
        </w:rPr>
        <w:t xml:space="preserve"> pessoas entenderem quais as medidas legais podem tomar para amenizar as dívidas e evitar um estágio tão avançado de endividamento.</w:t>
      </w:r>
    </w:p>
    <w:p w14:paraId="701DB963" w14:textId="77777777" w:rsidR="0013585C" w:rsidRPr="00BE2102" w:rsidRDefault="0013585C" w:rsidP="00BE2102">
      <w:pPr>
        <w:spacing w:line="360" w:lineRule="auto"/>
        <w:ind w:firstLine="993"/>
        <w:jc w:val="right"/>
        <w:rPr>
          <w:rFonts w:ascii="Arial" w:hAnsi="Arial" w:cs="Arial"/>
          <w:b/>
          <w:sz w:val="20"/>
          <w:szCs w:val="20"/>
          <w:lang w:val="pt-BR"/>
        </w:rPr>
      </w:pPr>
    </w:p>
    <w:p w14:paraId="57367CA8" w14:textId="0F429CB0" w:rsidR="00FC2B2F" w:rsidRDefault="00FC2B2F" w:rsidP="00FC2B2F">
      <w:pPr>
        <w:spacing w:line="360" w:lineRule="auto"/>
        <w:jc w:val="both"/>
        <w:rPr>
          <w:rFonts w:ascii="Arial" w:hAnsi="Arial" w:cs="Arial"/>
          <w:b/>
          <w:sz w:val="24"/>
          <w:lang w:val="pt-BR"/>
        </w:rPr>
      </w:pPr>
    </w:p>
    <w:p w14:paraId="6783B1C3" w14:textId="77777777" w:rsidR="00BE2102" w:rsidRPr="00B56680" w:rsidRDefault="00785AA6" w:rsidP="00B56680">
      <w:pPr>
        <w:pStyle w:val="Ttulo3"/>
        <w:jc w:val="center"/>
        <w:rPr>
          <w:b w:val="0"/>
          <w:color w:val="000000" w:themeColor="text1"/>
          <w:lang w:val="pt-BR"/>
        </w:rPr>
      </w:pPr>
      <w:bookmarkStart w:id="9" w:name="_Toc209795850"/>
      <w:r w:rsidRPr="00B56680">
        <w:rPr>
          <w:b w:val="0"/>
          <w:color w:val="000000" w:themeColor="text1"/>
          <w:lang w:val="pt-BR"/>
        </w:rPr>
        <w:lastRenderedPageBreak/>
        <w:t>Gráfico 5</w:t>
      </w:r>
      <w:r w:rsidR="00476B70" w:rsidRPr="00B56680">
        <w:rPr>
          <w:b w:val="0"/>
          <w:color w:val="000000" w:themeColor="text1"/>
          <w:lang w:val="pt-BR"/>
        </w:rPr>
        <w:t>: Educação Financeira nas escolas</w:t>
      </w:r>
      <w:r w:rsidRPr="00B56680">
        <w:rPr>
          <w:b w:val="0"/>
          <w:color w:val="000000" w:themeColor="text1"/>
          <w:lang w:val="pt-BR"/>
        </w:rPr>
        <w:t>.</w:t>
      </w:r>
      <w:bookmarkEnd w:id="9"/>
    </w:p>
    <w:p w14:paraId="4649F269" w14:textId="0C68B7A2" w:rsidR="00476B70" w:rsidRPr="00B56680" w:rsidRDefault="00F8164F" w:rsidP="00B56680">
      <w:pPr>
        <w:spacing w:line="360" w:lineRule="auto"/>
        <w:ind w:firstLine="709"/>
        <w:jc w:val="center"/>
        <w:rPr>
          <w:rFonts w:ascii="Arial" w:hAnsi="Arial" w:cs="Arial"/>
          <w:sz w:val="20"/>
          <w:szCs w:val="20"/>
          <w:lang w:val="pt-BR"/>
        </w:rPr>
      </w:pPr>
      <w:r w:rsidRPr="00B56680">
        <w:rPr>
          <w:noProof/>
        </w:rPr>
        <w:drawing>
          <wp:inline distT="0" distB="0" distL="0" distR="0" wp14:anchorId="0140B36E" wp14:editId="2A302B80">
            <wp:extent cx="4572000" cy="2743200"/>
            <wp:effectExtent l="57150" t="57150" r="114300" b="114300"/>
            <wp:docPr id="1226243649" name="Gráfico 1">
              <a:extLst xmlns:a="http://schemas.openxmlformats.org/drawingml/2006/main">
                <a:ext uri="{FF2B5EF4-FFF2-40B4-BE49-F238E27FC236}">
                  <a16:creationId xmlns:a16="http://schemas.microsoft.com/office/drawing/2014/main" id="{A45AE5D1-D11B-F4FF-29A0-503877BF58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476B70" w:rsidRPr="00B56680">
        <w:rPr>
          <w:rFonts w:ascii="Arial" w:hAnsi="Arial" w:cs="Arial"/>
          <w:sz w:val="20"/>
          <w:szCs w:val="20"/>
          <w:lang w:val="pt-BR"/>
        </w:rPr>
        <w:t>Fonte: Dados obtidos através da pesquisa feita em campo</w:t>
      </w:r>
    </w:p>
    <w:p w14:paraId="35E3AE1D" w14:textId="28598271" w:rsidR="00476B70" w:rsidRPr="00D832E0" w:rsidRDefault="00D832E0" w:rsidP="00D747BA">
      <w:pPr>
        <w:spacing w:line="360" w:lineRule="auto"/>
        <w:ind w:firstLine="567"/>
        <w:jc w:val="both"/>
        <w:rPr>
          <w:rFonts w:ascii="Arial" w:hAnsi="Arial" w:cs="Arial"/>
          <w:sz w:val="24"/>
          <w:lang w:val="pt-BR"/>
        </w:rPr>
      </w:pPr>
      <w:r>
        <w:rPr>
          <w:rFonts w:ascii="Arial" w:hAnsi="Arial" w:cs="Arial"/>
          <w:sz w:val="24"/>
          <w:lang w:val="pt-BR"/>
        </w:rPr>
        <w:t>Podemos verificar que no gráfico acima que quase por unanimidade, as pessoas selecionadas para pesquisa acham importante que haja mais educação financeira nas escolas</w:t>
      </w:r>
      <w:r w:rsidR="009926A5">
        <w:rPr>
          <w:rFonts w:ascii="Arial" w:hAnsi="Arial" w:cs="Arial"/>
          <w:sz w:val="24"/>
          <w:lang w:val="pt-BR"/>
        </w:rPr>
        <w:t>, evitando assim problemas de superendividamentos futuros.</w:t>
      </w:r>
    </w:p>
    <w:p w14:paraId="3165A8B3" w14:textId="539DFAE5" w:rsidR="00007763" w:rsidRDefault="00007763" w:rsidP="00FC2B2F">
      <w:pPr>
        <w:spacing w:line="360" w:lineRule="auto"/>
        <w:jc w:val="both"/>
        <w:rPr>
          <w:rFonts w:ascii="Arial" w:hAnsi="Arial" w:cs="Arial"/>
          <w:b/>
          <w:sz w:val="24"/>
          <w:lang w:val="pt-BR"/>
        </w:rPr>
      </w:pPr>
      <w:r>
        <w:rPr>
          <w:rFonts w:ascii="Arial" w:hAnsi="Arial" w:cs="Arial"/>
          <w:b/>
          <w:sz w:val="24"/>
          <w:lang w:val="pt-BR"/>
        </w:rPr>
        <w:br w:type="page"/>
      </w:r>
    </w:p>
    <w:p w14:paraId="7A54BF8B" w14:textId="0A2F64BB" w:rsidR="00F846C0" w:rsidRPr="009F7F75" w:rsidRDefault="00FB4EDD" w:rsidP="009F7F75">
      <w:pPr>
        <w:pStyle w:val="Ttulo1"/>
        <w:rPr>
          <w:color w:val="000000" w:themeColor="text1"/>
          <w:lang w:val="pt-BR"/>
        </w:rPr>
      </w:pPr>
      <w:bookmarkStart w:id="10" w:name="_Toc209795851"/>
      <w:r w:rsidRPr="009F7F75">
        <w:rPr>
          <w:color w:val="000000" w:themeColor="text1"/>
          <w:lang w:val="pt-BR"/>
        </w:rPr>
        <w:lastRenderedPageBreak/>
        <w:t>CONSIDERAÇÕES FINAIS</w:t>
      </w:r>
      <w:bookmarkEnd w:id="10"/>
    </w:p>
    <w:p w14:paraId="11FD5A9F" w14:textId="77777777" w:rsidR="00255566" w:rsidRDefault="00255566" w:rsidP="00BE2102">
      <w:pPr>
        <w:spacing w:line="360" w:lineRule="auto"/>
        <w:ind w:firstLine="709"/>
        <w:jc w:val="both"/>
        <w:rPr>
          <w:rFonts w:ascii="Arial" w:hAnsi="Arial" w:cs="Arial"/>
          <w:sz w:val="24"/>
          <w:lang w:val="pt-BR"/>
        </w:rPr>
      </w:pPr>
    </w:p>
    <w:p w14:paraId="350AE623" w14:textId="77B9E6A9" w:rsidR="003E37A5" w:rsidRDefault="00255566" w:rsidP="00D747BA">
      <w:pPr>
        <w:spacing w:line="360" w:lineRule="auto"/>
        <w:ind w:firstLine="567"/>
        <w:jc w:val="both"/>
        <w:rPr>
          <w:rFonts w:ascii="Arial" w:hAnsi="Arial" w:cs="Arial"/>
          <w:sz w:val="24"/>
          <w:lang w:val="pt-BR"/>
        </w:rPr>
      </w:pPr>
      <w:r w:rsidRPr="00255566">
        <w:rPr>
          <w:rFonts w:ascii="Arial" w:hAnsi="Arial" w:cs="Arial"/>
          <w:sz w:val="24"/>
          <w:lang w:val="pt-BR"/>
        </w:rPr>
        <w:t>Ao reunir dados quantitativos e qualitativos, este estudo não apenas c</w:t>
      </w:r>
      <w:r w:rsidR="00452C77">
        <w:rPr>
          <w:rFonts w:ascii="Arial" w:hAnsi="Arial" w:cs="Arial"/>
          <w:sz w:val="24"/>
          <w:lang w:val="pt-BR"/>
        </w:rPr>
        <w:t>onfirma a relevância da Lei do s</w:t>
      </w:r>
      <w:r w:rsidRPr="00255566">
        <w:rPr>
          <w:rFonts w:ascii="Arial" w:hAnsi="Arial" w:cs="Arial"/>
          <w:sz w:val="24"/>
          <w:lang w:val="pt-BR"/>
        </w:rPr>
        <w:t xml:space="preserve">uperendividamento como instrumento de proteção, mas também evidencia que ela, por si só, não é suficiente. É necessário um esforço conjunto entre governo, instituições financeiras, escolas e sociedade para que o conhecimento seja disseminado e aplicado de forma prática. Os resultados obtidos por meio dos questionários poderão orientar políticas públicas e programas educativos voltados à prevenção do superendividamento, garantindo a dignidade humana, conforme preconiza a legislação. </w:t>
      </w:r>
      <w:r w:rsidR="003E37A5" w:rsidRPr="003F29C5">
        <w:rPr>
          <w:rFonts w:ascii="Arial" w:hAnsi="Arial" w:cs="Arial"/>
          <w:sz w:val="24"/>
          <w:lang w:val="pt-BR"/>
        </w:rPr>
        <w:t>Grande parte da população não consegue pagar totalmente suas dívidas, possui mais de 25% da renda comprometida com pagamentos e não alcança o mínimo necessário para manter uma saúde financeira estável. Essas dívidas, em muitos casos, foram contraídas de boa-fé, com a intenção de serem quitadas, mas por fatores diversos, os compromissos não puderam ser mantidos.</w:t>
      </w:r>
    </w:p>
    <w:p w14:paraId="3D848595" w14:textId="22CE08D0" w:rsidR="003E37A5" w:rsidRPr="003F29C5" w:rsidRDefault="00731406" w:rsidP="00BE2102">
      <w:pPr>
        <w:spacing w:line="360" w:lineRule="auto"/>
        <w:ind w:firstLine="709"/>
        <w:jc w:val="both"/>
        <w:rPr>
          <w:rFonts w:ascii="Arial" w:hAnsi="Arial" w:cs="Arial"/>
          <w:sz w:val="24"/>
          <w:lang w:val="pt-BR"/>
        </w:rPr>
      </w:pPr>
      <w:r w:rsidRPr="00A5238F">
        <w:rPr>
          <w:rFonts w:ascii="Arial" w:hAnsi="Arial" w:cs="Arial"/>
          <w:sz w:val="24"/>
          <w:lang w:val="pt-BR"/>
        </w:rPr>
        <w:t>Dados da Serasa Experian (20</w:t>
      </w:r>
      <w:r w:rsidR="00007763" w:rsidRPr="00A5238F">
        <w:rPr>
          <w:rFonts w:ascii="Arial" w:hAnsi="Arial" w:cs="Arial"/>
          <w:sz w:val="24"/>
          <w:lang w:val="pt-BR"/>
        </w:rPr>
        <w:t>24) e dos estudos de Gomes (2024</w:t>
      </w:r>
      <w:r w:rsidRPr="00A5238F">
        <w:rPr>
          <w:rFonts w:ascii="Arial" w:hAnsi="Arial" w:cs="Arial"/>
          <w:sz w:val="24"/>
          <w:lang w:val="pt-BR"/>
        </w:rPr>
        <w:t>)</w:t>
      </w:r>
      <w:r w:rsidRPr="00731406">
        <w:rPr>
          <w:rFonts w:ascii="Arial" w:hAnsi="Arial" w:cs="Arial"/>
          <w:sz w:val="24"/>
          <w:lang w:val="pt-BR"/>
        </w:rPr>
        <w:t xml:space="preserve"> reforçam essa realidade</w:t>
      </w:r>
      <w:r w:rsidR="006C2040">
        <w:rPr>
          <w:rFonts w:ascii="Arial" w:hAnsi="Arial" w:cs="Arial"/>
          <w:sz w:val="24"/>
          <w:lang w:val="pt-BR"/>
        </w:rPr>
        <w:t xml:space="preserve"> </w:t>
      </w:r>
      <w:r w:rsidR="00D90984" w:rsidRPr="00D90984">
        <w:rPr>
          <w:rFonts w:ascii="Arial" w:hAnsi="Arial" w:cs="Arial"/>
          <w:sz w:val="24"/>
          <w:lang w:val="pt-BR"/>
        </w:rPr>
        <w:t>é</w:t>
      </w:r>
      <w:r w:rsidR="006C2040">
        <w:rPr>
          <w:rFonts w:ascii="Arial" w:hAnsi="Arial" w:cs="Arial"/>
          <w:color w:val="EE0000"/>
          <w:sz w:val="24"/>
          <w:lang w:val="pt-BR"/>
        </w:rPr>
        <w:t xml:space="preserve"> </w:t>
      </w:r>
      <w:r w:rsidR="003E37A5" w:rsidRPr="003F29C5">
        <w:rPr>
          <w:rFonts w:ascii="Arial" w:hAnsi="Arial" w:cs="Arial"/>
          <w:sz w:val="24"/>
          <w:lang w:val="pt-BR"/>
        </w:rPr>
        <w:t>de extrema importância que o estudo financeiro seja aplicado na sociedade, considerando sua relevância para garantir o mínimo existencial, conquistar liberdade financeira e melhorar a qualidade de vida dos cidadãos.</w:t>
      </w:r>
    </w:p>
    <w:p w14:paraId="20058078" w14:textId="42A53BA5" w:rsidR="003E37A5" w:rsidRPr="003F29C5" w:rsidRDefault="003E37A5" w:rsidP="00BE2102">
      <w:pPr>
        <w:spacing w:line="360" w:lineRule="auto"/>
        <w:ind w:firstLine="709"/>
        <w:jc w:val="both"/>
        <w:rPr>
          <w:rFonts w:ascii="Arial" w:hAnsi="Arial" w:cs="Arial"/>
          <w:sz w:val="24"/>
          <w:lang w:val="pt-BR"/>
        </w:rPr>
      </w:pPr>
      <w:r w:rsidRPr="003F29C5">
        <w:rPr>
          <w:rFonts w:ascii="Arial" w:hAnsi="Arial" w:cs="Arial"/>
          <w:sz w:val="24"/>
          <w:lang w:val="pt-BR"/>
        </w:rPr>
        <w:t>Além disso, esta pesquisa se mostra atual e socialmente relevante ao abordar a aplicação da Lei nº 14.181/2021 no contexto das famílias superendividadas. Ao unir os campos da Administração, do Direito e da Educação Financeira, o estudo contribui com reflexões práticas e acadêmicas para a construção de uma sociedade mais consciente financeiramente. A proposta metodológica, que inclui o uso de questionários, permitirá observar a realidade do endividamento sob a ótica dos próprios consumidores e poderá oferecer dados úteis para a formulação de estratégias preventivas mais eficazes.</w:t>
      </w:r>
      <w:r w:rsidR="001D37E8" w:rsidRPr="00B56680">
        <w:rPr>
          <w:lang w:val="pt-BR"/>
        </w:rPr>
        <w:t xml:space="preserve"> </w:t>
      </w:r>
      <w:r w:rsidR="001D37E8" w:rsidRPr="001D37E8">
        <w:rPr>
          <w:rFonts w:ascii="Arial" w:hAnsi="Arial" w:cs="Arial"/>
          <w:sz w:val="24"/>
          <w:lang w:val="pt-BR"/>
        </w:rPr>
        <w:t xml:space="preserve">O estudo destaca a importância do planejamento e da educação financeira como ferramentas essenciais para evitar o superendividamento, enquanto a Lei do Superendividamento surge como instrumento de proteção ao consumidor, </w:t>
      </w:r>
      <w:r w:rsidR="001D37E8">
        <w:rPr>
          <w:rFonts w:ascii="Arial" w:hAnsi="Arial" w:cs="Arial"/>
          <w:sz w:val="24"/>
          <w:lang w:val="pt-BR"/>
        </w:rPr>
        <w:t xml:space="preserve">que permite a </w:t>
      </w:r>
      <w:r w:rsidR="001D37E8" w:rsidRPr="001D37E8">
        <w:rPr>
          <w:rFonts w:ascii="Arial" w:hAnsi="Arial" w:cs="Arial"/>
          <w:sz w:val="24"/>
          <w:lang w:val="pt-BR"/>
        </w:rPr>
        <w:t>renegociação de dívidas de forma justa e equilibrada.</w:t>
      </w:r>
    </w:p>
    <w:p w14:paraId="0E1E3F2F" w14:textId="77777777" w:rsidR="003E37A5" w:rsidRPr="003F29C5" w:rsidRDefault="003E37A5" w:rsidP="00BE2102">
      <w:pPr>
        <w:spacing w:line="360" w:lineRule="auto"/>
        <w:ind w:firstLine="709"/>
        <w:jc w:val="both"/>
        <w:rPr>
          <w:rFonts w:ascii="Arial" w:hAnsi="Arial" w:cs="Arial"/>
          <w:b/>
          <w:sz w:val="24"/>
          <w:lang w:val="pt-BR"/>
        </w:rPr>
      </w:pPr>
      <w:r w:rsidRPr="003F29C5">
        <w:rPr>
          <w:rFonts w:ascii="Arial" w:hAnsi="Arial" w:cs="Arial"/>
          <w:sz w:val="24"/>
          <w:lang w:val="pt-BR"/>
        </w:rPr>
        <w:lastRenderedPageBreak/>
        <w:t>Portanto, este trabalho representa não apenas uma contribuição acadêmica, mas também uma proposta de intervenção social, ao incentivar o uso responsável do crédito, o conhecimento dos direitos dos consumidores e a construção de um futuro econômico mais equilibrado para as famílias brasileiras.</w:t>
      </w:r>
    </w:p>
    <w:p w14:paraId="396A9B68" w14:textId="77777777" w:rsidR="00283AFB" w:rsidRDefault="00283AFB" w:rsidP="00BB686C">
      <w:pPr>
        <w:spacing w:line="360" w:lineRule="auto"/>
        <w:ind w:firstLine="993"/>
        <w:jc w:val="both"/>
        <w:rPr>
          <w:rFonts w:ascii="Arial" w:hAnsi="Arial" w:cs="Arial"/>
          <w:b/>
          <w:sz w:val="24"/>
          <w:lang w:val="pt-BR"/>
        </w:rPr>
      </w:pPr>
    </w:p>
    <w:p w14:paraId="5CA72660" w14:textId="2A0EB993" w:rsidR="00603C8C" w:rsidRDefault="00FB626B" w:rsidP="009F7F75">
      <w:pPr>
        <w:pStyle w:val="Ttulo1"/>
        <w:rPr>
          <w:color w:val="000000" w:themeColor="text1"/>
          <w:lang w:val="pt-BR"/>
        </w:rPr>
      </w:pPr>
      <w:bookmarkStart w:id="11" w:name="_Toc209795852"/>
      <w:r w:rsidRPr="009F7F75">
        <w:rPr>
          <w:color w:val="000000" w:themeColor="text1"/>
          <w:lang w:val="pt-BR"/>
        </w:rPr>
        <w:t>REFERÊNCIAS</w:t>
      </w:r>
      <w:bookmarkEnd w:id="11"/>
    </w:p>
    <w:p w14:paraId="6469FA45" w14:textId="77777777" w:rsidR="009F7F75" w:rsidRPr="009F7F75" w:rsidRDefault="009F7F75" w:rsidP="009F7F75">
      <w:pPr>
        <w:rPr>
          <w:lang w:val="pt-BR"/>
        </w:rPr>
      </w:pPr>
    </w:p>
    <w:p w14:paraId="28006AFC" w14:textId="12483EED" w:rsidR="00FB626B" w:rsidRDefault="00FB626B" w:rsidP="00FF078E">
      <w:pPr>
        <w:spacing w:after="0" w:line="240" w:lineRule="auto"/>
        <w:rPr>
          <w:rFonts w:ascii="Arial" w:hAnsi="Arial" w:cs="Arial"/>
          <w:sz w:val="24"/>
          <w:lang w:val="pt-BR"/>
        </w:rPr>
      </w:pPr>
      <w:r w:rsidRPr="00C434E4">
        <w:rPr>
          <w:rFonts w:ascii="Arial" w:hAnsi="Arial" w:cs="Arial"/>
          <w:sz w:val="24"/>
          <w:lang w:val="pt-BR"/>
        </w:rPr>
        <w:t xml:space="preserve">BANCO CENTRAL DO BRASIL. </w:t>
      </w:r>
      <w:r w:rsidRPr="00FF078E">
        <w:rPr>
          <w:rFonts w:ascii="Arial" w:hAnsi="Arial" w:cs="Arial"/>
          <w:b/>
          <w:iCs/>
          <w:sz w:val="24"/>
          <w:lang w:val="pt-BR"/>
        </w:rPr>
        <w:t>Endividamento de risco no Brasil</w:t>
      </w:r>
      <w:r w:rsidRPr="00FF078E">
        <w:rPr>
          <w:rFonts w:ascii="Arial" w:hAnsi="Arial" w:cs="Arial"/>
          <w:sz w:val="24"/>
          <w:lang w:val="pt-BR"/>
        </w:rPr>
        <w:t xml:space="preserve"> (Série Cidadania Financeira, n. 6</w:t>
      </w:r>
      <w:r w:rsidRPr="00C434E4">
        <w:rPr>
          <w:rFonts w:ascii="Arial" w:hAnsi="Arial" w:cs="Arial"/>
          <w:sz w:val="24"/>
          <w:lang w:val="pt-BR"/>
        </w:rPr>
        <w:t xml:space="preserve">). Brasília: Banco Central do Brasil, 2020. 35 p. Disponível em: </w:t>
      </w:r>
      <w:r>
        <w:rPr>
          <w:rFonts w:ascii="Arial" w:hAnsi="Arial" w:cs="Arial"/>
          <w:sz w:val="24"/>
          <w:lang w:val="pt-BR"/>
        </w:rPr>
        <w:t>&lt;</w:t>
      </w:r>
      <w:r w:rsidRPr="00FF078E">
        <w:rPr>
          <w:rFonts w:ascii="Arial" w:hAnsi="Arial" w:cs="Arial"/>
          <w:sz w:val="24"/>
          <w:lang w:val="pt-BR"/>
        </w:rPr>
        <w:t>https://www.bcb.gov.br/content/cidadaniafinanceira/documentos_cidadania/serie_cidadania/serie_cidadania_financeira_6_endividamento_risco.pdf</w:t>
      </w:r>
      <w:r w:rsidRPr="00C434E4">
        <w:rPr>
          <w:rFonts w:ascii="Arial" w:hAnsi="Arial" w:cs="Arial"/>
          <w:sz w:val="24"/>
          <w:lang w:val="pt-BR"/>
        </w:rPr>
        <w:t>.</w:t>
      </w:r>
      <w:r>
        <w:rPr>
          <w:rFonts w:ascii="Arial" w:hAnsi="Arial" w:cs="Arial"/>
          <w:sz w:val="24"/>
          <w:lang w:val="pt-BR"/>
        </w:rPr>
        <w:t>&gt;</w:t>
      </w:r>
      <w:r w:rsidR="00FF078E">
        <w:rPr>
          <w:rFonts w:ascii="Arial" w:hAnsi="Arial" w:cs="Arial"/>
          <w:sz w:val="24"/>
          <w:lang w:val="pt-BR"/>
        </w:rPr>
        <w:t>.</w:t>
      </w:r>
      <w:r>
        <w:rPr>
          <w:rFonts w:ascii="Arial" w:hAnsi="Arial" w:cs="Arial"/>
          <w:sz w:val="24"/>
          <w:lang w:val="pt-BR"/>
        </w:rPr>
        <w:t xml:space="preserve"> </w:t>
      </w:r>
      <w:r w:rsidRPr="00C434E4">
        <w:rPr>
          <w:rFonts w:ascii="Arial" w:hAnsi="Arial" w:cs="Arial"/>
          <w:sz w:val="24"/>
          <w:lang w:val="pt-BR"/>
        </w:rPr>
        <w:t xml:space="preserve">Acesso em: </w:t>
      </w:r>
      <w:r>
        <w:rPr>
          <w:rFonts w:ascii="Arial" w:hAnsi="Arial" w:cs="Arial"/>
          <w:sz w:val="24"/>
          <w:lang w:val="pt-BR"/>
        </w:rPr>
        <w:t>14</w:t>
      </w:r>
      <w:r w:rsidRPr="00C434E4">
        <w:rPr>
          <w:rFonts w:ascii="Arial" w:hAnsi="Arial" w:cs="Arial"/>
          <w:sz w:val="24"/>
          <w:lang w:val="pt-BR"/>
        </w:rPr>
        <w:t xml:space="preserve"> </w:t>
      </w:r>
      <w:r>
        <w:rPr>
          <w:rFonts w:ascii="Arial" w:hAnsi="Arial" w:cs="Arial"/>
          <w:sz w:val="24"/>
          <w:lang w:val="pt-BR"/>
        </w:rPr>
        <w:t>jul</w:t>
      </w:r>
      <w:r w:rsidRPr="00C434E4">
        <w:rPr>
          <w:rFonts w:ascii="Arial" w:hAnsi="Arial" w:cs="Arial"/>
          <w:sz w:val="24"/>
          <w:lang w:val="pt-BR"/>
        </w:rPr>
        <w:t>. 2025.</w:t>
      </w:r>
    </w:p>
    <w:p w14:paraId="71DD3160" w14:textId="77777777" w:rsidR="00FF078E" w:rsidRDefault="00FF078E" w:rsidP="00FF078E">
      <w:pPr>
        <w:shd w:val="clear" w:color="auto" w:fill="FFFFFF"/>
        <w:spacing w:after="0" w:line="240" w:lineRule="auto"/>
        <w:jc w:val="both"/>
        <w:rPr>
          <w:rFonts w:ascii="Arial" w:eastAsia="Times New Roman" w:hAnsi="Arial" w:cs="Arial"/>
          <w:b/>
          <w:bCs/>
          <w:color w:val="0A0A0A"/>
          <w:sz w:val="24"/>
          <w:szCs w:val="24"/>
          <w:lang w:val="pt-BR" w:eastAsia="pt-BR"/>
        </w:rPr>
      </w:pPr>
    </w:p>
    <w:p w14:paraId="30D15A64" w14:textId="5368ADB7" w:rsidR="0047241E" w:rsidRPr="00FF078E" w:rsidRDefault="0047241E" w:rsidP="00FF078E">
      <w:pPr>
        <w:spacing w:after="0" w:line="240" w:lineRule="auto"/>
        <w:rPr>
          <w:rFonts w:ascii="Arial" w:hAnsi="Arial" w:cs="Arial"/>
          <w:sz w:val="24"/>
          <w:lang w:val="pt-BR"/>
        </w:rPr>
      </w:pPr>
      <w:r w:rsidRPr="00FF078E">
        <w:rPr>
          <w:rFonts w:ascii="Arial" w:hAnsi="Arial" w:cs="Arial"/>
          <w:sz w:val="24"/>
          <w:lang w:val="pt-BR"/>
        </w:rPr>
        <w:t xml:space="preserve">BRASIL. Lei nº 14.181, de 1º de julho de 2021. Diário Oficial da União: seção 1, Brasília, DF, p. 1, 2 jul. 2021. Disponível em: &lt; </w:t>
      </w:r>
      <w:hyperlink r:id="rId14" w:history="1">
        <w:r w:rsidRPr="006A1F1A">
          <w:rPr>
            <w:lang w:val="pt-BR"/>
          </w:rPr>
          <w:t>https://www.planalto.gov.br/ccivil_03/_ato2019-2022/2021/lei/L14181.htm</w:t>
        </w:r>
      </w:hyperlink>
      <w:r w:rsidRPr="00FF078E">
        <w:rPr>
          <w:rFonts w:ascii="Arial" w:hAnsi="Arial" w:cs="Arial"/>
          <w:sz w:val="24"/>
          <w:lang w:val="pt-BR"/>
        </w:rPr>
        <w:t xml:space="preserve"> &gt;. Acesso em: </w:t>
      </w:r>
      <w:smartTag w:uri="urn:schemas-microsoft-com:office:smarttags" w:element="date">
        <w:smartTagPr>
          <w:attr w:name="ls" w:val="trans"/>
          <w:attr w:name="Month" w:val="7"/>
          <w:attr w:name="Day" w:val="11"/>
          <w:attr w:name="Year" w:val="2025"/>
        </w:smartTagPr>
        <w:r w:rsidRPr="00FF078E">
          <w:rPr>
            <w:rFonts w:ascii="Arial" w:hAnsi="Arial" w:cs="Arial"/>
            <w:sz w:val="24"/>
            <w:lang w:val="pt-BR"/>
          </w:rPr>
          <w:t>11 jul. 2025</w:t>
        </w:r>
      </w:smartTag>
      <w:r w:rsidRPr="00FF078E">
        <w:rPr>
          <w:rFonts w:ascii="Arial" w:hAnsi="Arial" w:cs="Arial"/>
          <w:sz w:val="24"/>
          <w:lang w:val="pt-BR"/>
        </w:rPr>
        <w:t>.</w:t>
      </w:r>
    </w:p>
    <w:p w14:paraId="3B5E5CC1" w14:textId="77777777" w:rsidR="00FF078E" w:rsidRPr="00FF078E" w:rsidRDefault="00FF078E" w:rsidP="00FF078E">
      <w:pPr>
        <w:spacing w:after="0" w:line="240" w:lineRule="auto"/>
        <w:rPr>
          <w:rFonts w:ascii="Arial" w:hAnsi="Arial" w:cs="Arial"/>
          <w:sz w:val="24"/>
          <w:lang w:val="pt-BR"/>
        </w:rPr>
      </w:pPr>
    </w:p>
    <w:p w14:paraId="3314FF65" w14:textId="76E9340C" w:rsidR="00FB626B" w:rsidRDefault="00FB626B" w:rsidP="00FF078E">
      <w:pPr>
        <w:spacing w:after="0" w:line="240" w:lineRule="auto"/>
        <w:rPr>
          <w:rFonts w:ascii="Arial" w:hAnsi="Arial" w:cs="Arial"/>
          <w:sz w:val="24"/>
          <w:lang w:val="pt-BR"/>
        </w:rPr>
      </w:pPr>
      <w:r w:rsidRPr="00FF078E">
        <w:rPr>
          <w:rFonts w:ascii="Arial" w:hAnsi="Arial" w:cs="Arial"/>
          <w:sz w:val="24"/>
          <w:lang w:val="pt-BR"/>
        </w:rPr>
        <w:t>CONSELHO NACIONAL DE JUSTIÇA (CNJ). Cartilha sobre o tratamento do superendividamento do consumidor. Brasília: CNJ, 2022. Disponível em: &lt;</w:t>
      </w:r>
      <w:r w:rsidR="00365302" w:rsidRPr="00FF078E">
        <w:rPr>
          <w:rFonts w:ascii="Arial" w:hAnsi="Arial" w:cs="Arial"/>
          <w:sz w:val="24"/>
          <w:lang w:val="pt-BR"/>
        </w:rPr>
        <w:t xml:space="preserve"> </w:t>
      </w:r>
      <w:hyperlink r:id="rId15" w:history="1">
        <w:r w:rsidR="00365302" w:rsidRPr="006A1F1A">
          <w:rPr>
            <w:lang w:val="pt-BR"/>
          </w:rPr>
          <w:t>https://www.cnj.jus.br/wp-content/uploads/2022/08/cartilha-superendividamento.pdf</w:t>
        </w:r>
      </w:hyperlink>
      <w:r w:rsidRPr="00FF078E">
        <w:rPr>
          <w:rFonts w:ascii="Arial" w:hAnsi="Arial" w:cs="Arial"/>
          <w:sz w:val="24"/>
          <w:lang w:val="pt-BR"/>
        </w:rPr>
        <w:t>.</w:t>
      </w:r>
      <w:r w:rsidR="00365302" w:rsidRPr="00FF078E">
        <w:rPr>
          <w:rFonts w:ascii="Arial" w:hAnsi="Arial" w:cs="Arial"/>
          <w:sz w:val="24"/>
          <w:lang w:val="pt-BR"/>
        </w:rPr>
        <w:t xml:space="preserve"> </w:t>
      </w:r>
      <w:r w:rsidRPr="00FF078E">
        <w:rPr>
          <w:rFonts w:ascii="Arial" w:hAnsi="Arial" w:cs="Arial"/>
          <w:sz w:val="24"/>
          <w:lang w:val="pt-BR"/>
        </w:rPr>
        <w:t>&gt; Acesso em: 6 set. 202</w:t>
      </w:r>
      <w:r w:rsidR="009F7F75" w:rsidRPr="00FF078E">
        <w:rPr>
          <w:rFonts w:ascii="Arial" w:hAnsi="Arial" w:cs="Arial"/>
          <w:sz w:val="24"/>
          <w:lang w:val="pt-BR"/>
        </w:rPr>
        <w:t>4</w:t>
      </w:r>
      <w:r w:rsidRPr="00FF078E">
        <w:rPr>
          <w:rFonts w:ascii="Arial" w:hAnsi="Arial" w:cs="Arial"/>
          <w:sz w:val="24"/>
          <w:lang w:val="pt-BR"/>
        </w:rPr>
        <w:t>.</w:t>
      </w:r>
    </w:p>
    <w:p w14:paraId="6B7EB7FA" w14:textId="77777777" w:rsidR="00C87680" w:rsidRPr="00FF078E" w:rsidRDefault="00C87680" w:rsidP="00FF078E">
      <w:pPr>
        <w:spacing w:after="0" w:line="240" w:lineRule="auto"/>
        <w:rPr>
          <w:rFonts w:ascii="Arial" w:hAnsi="Arial" w:cs="Arial"/>
          <w:sz w:val="24"/>
          <w:lang w:val="pt-BR"/>
        </w:rPr>
      </w:pPr>
    </w:p>
    <w:p w14:paraId="65B7F9A9" w14:textId="2880B3FD" w:rsidR="00007763" w:rsidRDefault="00007763" w:rsidP="00FF078E">
      <w:pPr>
        <w:spacing w:after="0" w:line="240" w:lineRule="auto"/>
        <w:rPr>
          <w:rFonts w:ascii="Arial" w:hAnsi="Arial" w:cs="Arial"/>
          <w:sz w:val="24"/>
          <w:lang w:val="pt-BR"/>
        </w:rPr>
      </w:pPr>
      <w:r w:rsidRPr="00FF078E">
        <w:rPr>
          <w:rFonts w:ascii="Arial" w:hAnsi="Arial" w:cs="Arial"/>
          <w:sz w:val="24"/>
          <w:lang w:val="pt-BR"/>
        </w:rPr>
        <w:t>GITMAN, Lawrence J.; JOEHNK, Mark D. Princípios de administração financeira. 10. ed. São Paulo: Pearson Education do Brasil, 2004.</w:t>
      </w:r>
    </w:p>
    <w:p w14:paraId="6C85C98C" w14:textId="77777777" w:rsidR="00C87680" w:rsidRPr="00FF078E" w:rsidRDefault="00C87680" w:rsidP="00FF078E">
      <w:pPr>
        <w:spacing w:after="0" w:line="240" w:lineRule="auto"/>
        <w:rPr>
          <w:rFonts w:ascii="Arial" w:hAnsi="Arial" w:cs="Arial"/>
          <w:sz w:val="24"/>
          <w:lang w:val="pt-BR"/>
        </w:rPr>
      </w:pPr>
    </w:p>
    <w:p w14:paraId="01BFAD9F" w14:textId="447070B7" w:rsidR="004516F0" w:rsidRDefault="004516F0" w:rsidP="00FF078E">
      <w:pPr>
        <w:spacing w:after="0" w:line="240" w:lineRule="auto"/>
        <w:rPr>
          <w:rFonts w:ascii="Arial" w:hAnsi="Arial" w:cs="Arial"/>
          <w:sz w:val="24"/>
          <w:lang w:val="pt-BR"/>
        </w:rPr>
      </w:pPr>
      <w:r w:rsidRPr="00FF078E">
        <w:rPr>
          <w:rFonts w:ascii="Arial" w:hAnsi="Arial" w:cs="Arial"/>
          <w:sz w:val="24"/>
          <w:lang w:val="pt-BR"/>
        </w:rPr>
        <w:t xml:space="preserve">GOMES, Eduardo. A educação financeira de alunos do Ensino Fundamental: um estudo em Guarabira e Cuitegi – PB. 2024. Disponível em: </w:t>
      </w:r>
      <w:hyperlink r:id="rId16" w:tgtFrame="_new" w:history="1">
        <w:r w:rsidRPr="006A1F1A">
          <w:rPr>
            <w:lang w:val="pt-BR"/>
          </w:rPr>
          <w:t>https://repositorio.ufpb.br/jspui/bitstream/123456789/30426/1/EduardoGomes_TCC.pdf</w:t>
        </w:r>
      </w:hyperlink>
      <w:r w:rsidRPr="00FF078E">
        <w:rPr>
          <w:rFonts w:ascii="Arial" w:hAnsi="Arial" w:cs="Arial"/>
          <w:sz w:val="24"/>
          <w:lang w:val="pt-BR"/>
        </w:rPr>
        <w:t xml:space="preserve">. Acesso em: 18 </w:t>
      </w:r>
      <w:r w:rsidR="00007763" w:rsidRPr="00FF078E">
        <w:rPr>
          <w:rFonts w:ascii="Arial" w:hAnsi="Arial" w:cs="Arial"/>
          <w:sz w:val="24"/>
          <w:lang w:val="pt-BR"/>
        </w:rPr>
        <w:t>mar</w:t>
      </w:r>
      <w:r w:rsidRPr="00FF078E">
        <w:rPr>
          <w:rFonts w:ascii="Arial" w:hAnsi="Arial" w:cs="Arial"/>
          <w:sz w:val="24"/>
          <w:lang w:val="pt-BR"/>
        </w:rPr>
        <w:t>. 2025.</w:t>
      </w:r>
    </w:p>
    <w:p w14:paraId="28A0FF9D" w14:textId="77777777" w:rsidR="00C87680" w:rsidRPr="00FF078E" w:rsidRDefault="00C87680" w:rsidP="00FF078E">
      <w:pPr>
        <w:spacing w:after="0" w:line="240" w:lineRule="auto"/>
        <w:rPr>
          <w:rFonts w:ascii="Arial" w:hAnsi="Arial" w:cs="Arial"/>
          <w:sz w:val="24"/>
          <w:lang w:val="pt-BR"/>
        </w:rPr>
      </w:pPr>
    </w:p>
    <w:p w14:paraId="0D351836" w14:textId="21A11FC5" w:rsidR="0047241E" w:rsidRDefault="005813F7" w:rsidP="00FF078E">
      <w:pPr>
        <w:spacing w:after="0" w:line="240" w:lineRule="auto"/>
        <w:rPr>
          <w:rFonts w:ascii="Arial" w:hAnsi="Arial" w:cs="Arial"/>
          <w:sz w:val="24"/>
          <w:lang w:val="pt-BR"/>
        </w:rPr>
      </w:pPr>
      <w:r w:rsidRPr="00FF078E">
        <w:rPr>
          <w:rFonts w:ascii="Arial" w:hAnsi="Arial" w:cs="Arial"/>
          <w:sz w:val="24"/>
          <w:lang w:val="pt-BR"/>
        </w:rPr>
        <w:t xml:space="preserve">MARTINS, Fernando Rodrigues; D’AQUINO, Lúcia Souza. Enunciado 4. In: MARQUES, Claudia Lima; RANGEL, Andréia Fernandes de Almeida (org.). Superendividamento e proteção do consumidor: estudos da I e II Jornada de Pesquisa CDEA. Porto Alegre: Fundação Fênix, 2022. p.394. </w:t>
      </w:r>
      <w:r w:rsidR="005F025E" w:rsidRPr="00FF078E">
        <w:rPr>
          <w:rFonts w:ascii="Arial" w:hAnsi="Arial" w:cs="Arial"/>
          <w:sz w:val="24"/>
          <w:lang w:val="pt-BR"/>
        </w:rPr>
        <w:t>Disponível em: &lt;</w:t>
      </w:r>
      <w:hyperlink r:id="rId17" w:tgtFrame="_new" w:history="1">
        <w:r w:rsidR="005F025E" w:rsidRPr="006A1F1A">
          <w:rPr>
            <w:lang w:val="pt-BR"/>
          </w:rPr>
          <w:t>https://www.ufrgs.br/ocsc/wp-content/uploads/2022/11/obra-SUPERENDIVIDAMENTO-E-PROTECAO-DO-CONSUMIDOR.pdf</w:t>
        </w:r>
      </w:hyperlink>
      <w:r w:rsidR="005F025E" w:rsidRPr="00FF078E">
        <w:rPr>
          <w:rFonts w:ascii="Arial" w:hAnsi="Arial" w:cs="Arial"/>
          <w:sz w:val="24"/>
          <w:lang w:val="pt-BR"/>
        </w:rPr>
        <w:t>&gt;. Acesso em: 30 jul. 2024.</w:t>
      </w:r>
    </w:p>
    <w:p w14:paraId="3D4C851C" w14:textId="77777777" w:rsidR="00C87680" w:rsidRPr="00FF078E" w:rsidRDefault="00C87680" w:rsidP="00FF078E">
      <w:pPr>
        <w:spacing w:after="0" w:line="240" w:lineRule="auto"/>
        <w:rPr>
          <w:rFonts w:ascii="Arial" w:hAnsi="Arial" w:cs="Arial"/>
          <w:sz w:val="24"/>
          <w:lang w:val="pt-BR"/>
        </w:rPr>
      </w:pPr>
    </w:p>
    <w:p w14:paraId="321F2683" w14:textId="06D0929F" w:rsidR="00320297" w:rsidRPr="00A5238F" w:rsidRDefault="00013072" w:rsidP="00FF078E">
      <w:pPr>
        <w:spacing w:after="0" w:line="240" w:lineRule="auto"/>
        <w:rPr>
          <w:rFonts w:ascii="Arial" w:hAnsi="Arial" w:cs="Arial"/>
          <w:sz w:val="24"/>
          <w:lang w:val="pt-BR"/>
        </w:rPr>
      </w:pPr>
      <w:r w:rsidRPr="00FF078E">
        <w:rPr>
          <w:rFonts w:ascii="Arial" w:hAnsi="Arial" w:cs="Arial"/>
          <w:sz w:val="24"/>
          <w:lang w:val="pt-BR"/>
        </w:rPr>
        <w:t xml:space="preserve">MACÊDO, Álvaro Fabiano Pereira de. Matemática financeira. Mossoró: EdUFERSA, 2014. 96 p. ISBN 978-85-63145-59-8. Disponível em: </w:t>
      </w:r>
      <w:r w:rsidR="00226342" w:rsidRPr="00FF078E">
        <w:rPr>
          <w:rFonts w:ascii="Arial" w:hAnsi="Arial" w:cs="Arial"/>
          <w:sz w:val="24"/>
          <w:lang w:val="pt-BR"/>
        </w:rPr>
        <w:t xml:space="preserve">&lt; </w:t>
      </w:r>
      <w:hyperlink r:id="rId18" w:history="1">
        <w:r w:rsidR="00226342" w:rsidRPr="006A1F1A">
          <w:rPr>
            <w:lang w:val="pt-BR"/>
          </w:rPr>
          <w:t>https://mozestuda.com/livro-de-matematica-financeira-alvaro-macedo-em-pdf/</w:t>
        </w:r>
      </w:hyperlink>
      <w:r w:rsidR="00226342" w:rsidRPr="00FF078E">
        <w:rPr>
          <w:rFonts w:ascii="Arial" w:hAnsi="Arial" w:cs="Arial"/>
          <w:sz w:val="24"/>
          <w:lang w:val="pt-BR"/>
        </w:rPr>
        <w:t xml:space="preserve"> &gt; </w:t>
      </w:r>
      <w:r w:rsidRPr="00FF078E">
        <w:rPr>
          <w:rFonts w:ascii="Arial" w:hAnsi="Arial" w:cs="Arial"/>
          <w:sz w:val="24"/>
          <w:lang w:val="pt-BR"/>
        </w:rPr>
        <w:t>Acesso em: 10 set. 2024.</w:t>
      </w:r>
    </w:p>
    <w:p w14:paraId="64CB5134" w14:textId="336E083C" w:rsidR="00F113A4" w:rsidRDefault="00F113A4" w:rsidP="00FF078E">
      <w:pPr>
        <w:spacing w:after="0" w:line="240" w:lineRule="auto"/>
        <w:rPr>
          <w:rFonts w:ascii="Arial" w:hAnsi="Arial" w:cs="Arial"/>
          <w:sz w:val="24"/>
        </w:rPr>
      </w:pPr>
      <w:r w:rsidRPr="00FF078E">
        <w:rPr>
          <w:rFonts w:ascii="Arial" w:hAnsi="Arial" w:cs="Arial"/>
          <w:sz w:val="24"/>
          <w:lang w:val="pt-BR"/>
        </w:rPr>
        <w:lastRenderedPageBreak/>
        <w:t>Serasa Experian.</w:t>
      </w:r>
      <w:r w:rsidRPr="00F113A4">
        <w:rPr>
          <w:rFonts w:ascii="Arial" w:hAnsi="Arial" w:cs="Arial"/>
          <w:sz w:val="24"/>
          <w:lang w:val="pt-BR"/>
        </w:rPr>
        <w:t xml:space="preserve"> </w:t>
      </w:r>
      <w:r w:rsidRPr="00FF078E">
        <w:rPr>
          <w:rFonts w:ascii="Arial" w:hAnsi="Arial" w:cs="Arial"/>
          <w:sz w:val="24"/>
          <w:lang w:val="pt-BR"/>
        </w:rPr>
        <w:t>Mapa da inadimplência e renegociação de dívidas no Brasil.</w:t>
      </w:r>
      <w:r w:rsidRPr="00F113A4">
        <w:rPr>
          <w:rFonts w:ascii="Arial" w:hAnsi="Arial" w:cs="Arial"/>
          <w:sz w:val="24"/>
          <w:lang w:val="pt-BR"/>
        </w:rPr>
        <w:t xml:space="preserve"> 2024. Disponível em: </w:t>
      </w:r>
      <w:r>
        <w:rPr>
          <w:rFonts w:ascii="Arial" w:hAnsi="Arial" w:cs="Arial"/>
          <w:sz w:val="24"/>
          <w:lang w:val="pt-BR"/>
        </w:rPr>
        <w:t xml:space="preserve">&lt; </w:t>
      </w:r>
      <w:hyperlink r:id="rId19" w:tgtFrame="_new" w:history="1">
        <w:r w:rsidRPr="006A1F1A">
          <w:rPr>
            <w:lang w:val="pt-BR"/>
          </w:rPr>
          <w:t>https://www.serasa.com.br/limpa-nome-online/blog/mapa-da-inadimplencia-e-renogociacao-de-dividas-no-brasil/</w:t>
        </w:r>
      </w:hyperlink>
      <w:r w:rsidRPr="00F113A4">
        <w:rPr>
          <w:rFonts w:ascii="Arial" w:hAnsi="Arial" w:cs="Arial"/>
          <w:sz w:val="24"/>
          <w:lang w:val="pt-BR"/>
        </w:rPr>
        <w:t>.</w:t>
      </w:r>
      <w:r>
        <w:rPr>
          <w:rFonts w:ascii="Arial" w:hAnsi="Arial" w:cs="Arial"/>
          <w:sz w:val="24"/>
          <w:lang w:val="pt-BR"/>
        </w:rPr>
        <w:t xml:space="preserve"> </w:t>
      </w:r>
      <w:r w:rsidRPr="006A1F1A">
        <w:rPr>
          <w:rFonts w:ascii="Arial" w:hAnsi="Arial" w:cs="Arial"/>
          <w:sz w:val="24"/>
        </w:rPr>
        <w:t>&gt; Acesso em: 15 fev. 2025.</w:t>
      </w:r>
    </w:p>
    <w:p w14:paraId="1F3EC2EF" w14:textId="77777777" w:rsidR="00723C5A" w:rsidRPr="006A1F1A" w:rsidRDefault="00723C5A" w:rsidP="00FF078E">
      <w:pPr>
        <w:spacing w:after="0" w:line="240" w:lineRule="auto"/>
        <w:rPr>
          <w:rFonts w:ascii="Arial" w:hAnsi="Arial" w:cs="Arial"/>
          <w:sz w:val="24"/>
        </w:rPr>
      </w:pPr>
    </w:p>
    <w:p w14:paraId="26FE8D70" w14:textId="003C3E1E" w:rsidR="00F113A4" w:rsidRPr="00F113A4" w:rsidRDefault="003624EE" w:rsidP="00FF078E">
      <w:pPr>
        <w:spacing w:after="0" w:line="240" w:lineRule="auto"/>
        <w:rPr>
          <w:rFonts w:ascii="Arial" w:hAnsi="Arial" w:cs="Arial"/>
          <w:sz w:val="24"/>
          <w:lang w:val="pt-BR"/>
        </w:rPr>
      </w:pPr>
      <w:r w:rsidRPr="006A1F1A">
        <w:rPr>
          <w:rFonts w:ascii="Arial" w:hAnsi="Arial" w:cs="Arial"/>
          <w:sz w:val="24"/>
        </w:rPr>
        <w:t xml:space="preserve">WARREN, Elizabeth; TYAGI, Amelia Warren. All Your Worth: The Ultimate Lifetime Money Plan. </w:t>
      </w:r>
      <w:r w:rsidRPr="00FF078E">
        <w:rPr>
          <w:rFonts w:ascii="Arial" w:hAnsi="Arial" w:cs="Arial"/>
          <w:sz w:val="24"/>
          <w:lang w:val="pt-BR"/>
        </w:rPr>
        <w:t>New York: Simon &amp; Schuster, 2006.</w:t>
      </w:r>
    </w:p>
    <w:p w14:paraId="70153F63" w14:textId="77777777" w:rsidR="00320297" w:rsidRPr="00E4039B" w:rsidRDefault="00320297" w:rsidP="00FF078E">
      <w:pPr>
        <w:spacing w:after="0" w:line="240" w:lineRule="auto"/>
        <w:rPr>
          <w:rFonts w:ascii="Arial" w:hAnsi="Arial" w:cs="Arial"/>
          <w:sz w:val="24"/>
          <w:lang w:val="pt-BR"/>
        </w:rPr>
      </w:pPr>
    </w:p>
    <w:p w14:paraId="50B303BB" w14:textId="77777777" w:rsidR="009F7F75" w:rsidRPr="00E4039B" w:rsidRDefault="009F7F75" w:rsidP="00FF078E">
      <w:pPr>
        <w:spacing w:after="0" w:line="240" w:lineRule="auto"/>
        <w:jc w:val="both"/>
        <w:rPr>
          <w:rFonts w:ascii="Arial" w:hAnsi="Arial" w:cs="Arial"/>
          <w:sz w:val="24"/>
          <w:lang w:val="pt-BR"/>
        </w:rPr>
      </w:pPr>
    </w:p>
    <w:p w14:paraId="47D1892E" w14:textId="176BCF11" w:rsidR="000D6D77" w:rsidRPr="000D6D77" w:rsidRDefault="000D6D77" w:rsidP="008C394A">
      <w:pPr>
        <w:spacing w:after="0" w:line="240" w:lineRule="auto"/>
        <w:rPr>
          <w:rFonts w:ascii="Arial" w:hAnsi="Arial" w:cs="Arial"/>
          <w:lang w:val="pt-BR"/>
        </w:rPr>
      </w:pPr>
      <w:r>
        <w:rPr>
          <w:rFonts w:ascii="Arial" w:hAnsi="Arial" w:cs="Arial"/>
          <w:sz w:val="24"/>
          <w:lang w:val="pt-BR"/>
        </w:rPr>
        <w:t xml:space="preserve">Procon. Educação Financeira, Um guia para ajudar a administrar sua vida financeira.2022. Disponível em: </w:t>
      </w:r>
      <w:r w:rsidRPr="008C394A">
        <w:rPr>
          <w:rFonts w:ascii="Arial" w:hAnsi="Arial" w:cs="Arial"/>
          <w:sz w:val="24"/>
          <w:lang w:val="pt-BR"/>
        </w:rPr>
        <w:t>&lt;</w:t>
      </w:r>
      <w:r w:rsidRPr="000D6D77">
        <w:rPr>
          <w:rFonts w:ascii="Arial" w:hAnsi="Arial" w:cs="Arial"/>
          <w:lang w:val="pt-BR"/>
        </w:rPr>
        <w:t xml:space="preserve"> </w:t>
      </w:r>
      <w:r w:rsidR="008C394A" w:rsidRPr="000D6D77">
        <w:rPr>
          <w:rFonts w:ascii="Arial" w:hAnsi="Arial" w:cs="Arial"/>
          <w:lang w:val="pt-BR"/>
        </w:rPr>
        <w:t xml:space="preserve">https://www.procon.sp.gov.br/epdc/#cartilhas_conteudos. </w:t>
      </w:r>
      <w:r w:rsidR="008C394A" w:rsidRPr="008C394A">
        <w:rPr>
          <w:rFonts w:ascii="Arial" w:hAnsi="Arial" w:cs="Arial"/>
          <w:sz w:val="24"/>
          <w:szCs w:val="24"/>
          <w:lang w:val="pt-BR"/>
        </w:rPr>
        <w:t>&gt; Acesso em: julho de 2022</w:t>
      </w:r>
    </w:p>
    <w:sectPr w:rsidR="000D6D77" w:rsidRPr="000D6D77" w:rsidSect="00E04239">
      <w:headerReference w:type="default" r:id="rId20"/>
      <w:pgSz w:w="11907" w:h="16839" w:code="9"/>
      <w:pgMar w:top="1701" w:right="1134" w:bottom="1134" w:left="1701" w:header="720" w:footer="720" w:gutter="17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6C95C5" w16cex:dateUtc="2025-11-06T13:19:00Z"/>
  <w16cex:commentExtensible w16cex:durableId="266117D1" w16cex:dateUtc="2025-11-06T13:23:00Z"/>
  <w16cex:commentExtensible w16cex:durableId="1CCB0C5F" w16cex:dateUtc="2025-11-06T13:24:00Z"/>
  <w16cex:commentExtensible w16cex:durableId="569D1B3C" w16cex:dateUtc="2025-11-06T13:24:00Z"/>
  <w16cex:commentExtensible w16cex:durableId="3EB85B2B" w16cex:dateUtc="2025-11-06T13:20:00Z"/>
  <w16cex:commentExtensible w16cex:durableId="0DA993A7" w16cex:dateUtc="2025-11-06T13:29:00Z"/>
  <w16cex:commentExtensible w16cex:durableId="1FE711CA" w16cex:dateUtc="2025-11-06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D418CC" w16cid:durableId="476C95C5"/>
  <w16cid:commentId w16cid:paraId="5A3E4B78" w16cid:durableId="266117D1"/>
  <w16cid:commentId w16cid:paraId="72245547" w16cid:durableId="1CCB0C5F"/>
  <w16cid:commentId w16cid:paraId="1BE54799" w16cid:durableId="569D1B3C"/>
  <w16cid:commentId w16cid:paraId="004F2283" w16cid:durableId="3EB85B2B"/>
  <w16cid:commentId w16cid:paraId="4E28DFC6" w16cid:durableId="0DA993A7"/>
  <w16cid:commentId w16cid:paraId="31B0900A" w16cid:durableId="1FE711C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62C14" w14:textId="77777777" w:rsidR="00982AB2" w:rsidRDefault="00982AB2" w:rsidP="00021E9E">
      <w:pPr>
        <w:spacing w:after="0" w:line="240" w:lineRule="auto"/>
      </w:pPr>
      <w:r>
        <w:separator/>
      </w:r>
    </w:p>
  </w:endnote>
  <w:endnote w:type="continuationSeparator" w:id="0">
    <w:p w14:paraId="2A674EFB" w14:textId="77777777" w:rsidR="00982AB2" w:rsidRDefault="00982AB2" w:rsidP="00021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9D570" w14:textId="77777777" w:rsidR="00982AB2" w:rsidRDefault="00982AB2" w:rsidP="00021E9E">
      <w:pPr>
        <w:spacing w:after="0" w:line="240" w:lineRule="auto"/>
      </w:pPr>
      <w:r>
        <w:separator/>
      </w:r>
    </w:p>
  </w:footnote>
  <w:footnote w:type="continuationSeparator" w:id="0">
    <w:p w14:paraId="0B329DF9" w14:textId="77777777" w:rsidR="00982AB2" w:rsidRDefault="00982AB2" w:rsidP="00021E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031092"/>
      <w:docPartObj>
        <w:docPartGallery w:val="Page Numbers (Top of Page)"/>
        <w:docPartUnique/>
      </w:docPartObj>
    </w:sdtPr>
    <w:sdtEndPr/>
    <w:sdtContent>
      <w:p w14:paraId="10F76803" w14:textId="5B39AFCA" w:rsidR="00021E9E" w:rsidRDefault="00021E9E">
        <w:pPr>
          <w:pStyle w:val="Cabealho"/>
          <w:jc w:val="right"/>
        </w:pPr>
        <w:r>
          <w:fldChar w:fldCharType="begin"/>
        </w:r>
        <w:r>
          <w:instrText>PAGE   \* MERGEFORMAT</w:instrText>
        </w:r>
        <w:r>
          <w:fldChar w:fldCharType="separate"/>
        </w:r>
        <w:r w:rsidR="00923A2F" w:rsidRPr="00923A2F">
          <w:rPr>
            <w:noProof/>
            <w:lang w:val="pt-BR"/>
          </w:rPr>
          <w:t>1</w:t>
        </w:r>
        <w:r>
          <w:fldChar w:fldCharType="end"/>
        </w:r>
      </w:p>
    </w:sdtContent>
  </w:sdt>
  <w:p w14:paraId="7E5E050A" w14:textId="77777777" w:rsidR="00021E9E" w:rsidRDefault="00021E9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6D14632B"/>
    <w:multiLevelType w:val="multilevel"/>
    <w:tmpl w:val="56488C82"/>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7763"/>
    <w:rsid w:val="00007F7D"/>
    <w:rsid w:val="00013072"/>
    <w:rsid w:val="000136A6"/>
    <w:rsid w:val="00021E52"/>
    <w:rsid w:val="00021E9E"/>
    <w:rsid w:val="00034616"/>
    <w:rsid w:val="000417A4"/>
    <w:rsid w:val="0006063C"/>
    <w:rsid w:val="00072186"/>
    <w:rsid w:val="0007758D"/>
    <w:rsid w:val="00081E0E"/>
    <w:rsid w:val="000956DC"/>
    <w:rsid w:val="000A2143"/>
    <w:rsid w:val="000A3CBF"/>
    <w:rsid w:val="000C65EE"/>
    <w:rsid w:val="000D42D1"/>
    <w:rsid w:val="000D5E7E"/>
    <w:rsid w:val="000D6D77"/>
    <w:rsid w:val="000E2142"/>
    <w:rsid w:val="000E5CEA"/>
    <w:rsid w:val="00110389"/>
    <w:rsid w:val="0011466B"/>
    <w:rsid w:val="001302E0"/>
    <w:rsid w:val="0013333F"/>
    <w:rsid w:val="0013585C"/>
    <w:rsid w:val="00141653"/>
    <w:rsid w:val="0015074B"/>
    <w:rsid w:val="00162B9D"/>
    <w:rsid w:val="00162E7E"/>
    <w:rsid w:val="001643B7"/>
    <w:rsid w:val="001739A2"/>
    <w:rsid w:val="001857DD"/>
    <w:rsid w:val="001A3E61"/>
    <w:rsid w:val="001C36A4"/>
    <w:rsid w:val="001D192C"/>
    <w:rsid w:val="001D37E8"/>
    <w:rsid w:val="001E3F02"/>
    <w:rsid w:val="001F00C5"/>
    <w:rsid w:val="0020206A"/>
    <w:rsid w:val="00202B67"/>
    <w:rsid w:val="002214E9"/>
    <w:rsid w:val="00226342"/>
    <w:rsid w:val="002271FB"/>
    <w:rsid w:val="0024051C"/>
    <w:rsid w:val="00255566"/>
    <w:rsid w:val="00272BA4"/>
    <w:rsid w:val="002812D4"/>
    <w:rsid w:val="00283AFB"/>
    <w:rsid w:val="002931DD"/>
    <w:rsid w:val="0029639D"/>
    <w:rsid w:val="00297B32"/>
    <w:rsid w:val="002A22DF"/>
    <w:rsid w:val="002C0C1A"/>
    <w:rsid w:val="002C5BEE"/>
    <w:rsid w:val="002E24A4"/>
    <w:rsid w:val="002E3FF1"/>
    <w:rsid w:val="002E5C26"/>
    <w:rsid w:val="00305E33"/>
    <w:rsid w:val="003152D1"/>
    <w:rsid w:val="00320297"/>
    <w:rsid w:val="00326F90"/>
    <w:rsid w:val="003624EE"/>
    <w:rsid w:val="00365302"/>
    <w:rsid w:val="003A77D6"/>
    <w:rsid w:val="003C5693"/>
    <w:rsid w:val="003E37A5"/>
    <w:rsid w:val="003F29C5"/>
    <w:rsid w:val="0040468D"/>
    <w:rsid w:val="004227E5"/>
    <w:rsid w:val="00423F8E"/>
    <w:rsid w:val="004516F0"/>
    <w:rsid w:val="00451ED7"/>
    <w:rsid w:val="00452C77"/>
    <w:rsid w:val="0047241E"/>
    <w:rsid w:val="004761B4"/>
    <w:rsid w:val="00476B70"/>
    <w:rsid w:val="004774A8"/>
    <w:rsid w:val="004F42F5"/>
    <w:rsid w:val="004F744A"/>
    <w:rsid w:val="00527E90"/>
    <w:rsid w:val="00547CD0"/>
    <w:rsid w:val="00564A8A"/>
    <w:rsid w:val="005813F7"/>
    <w:rsid w:val="005C1B2D"/>
    <w:rsid w:val="005C4E1B"/>
    <w:rsid w:val="005D2F76"/>
    <w:rsid w:val="005F025E"/>
    <w:rsid w:val="00603C8C"/>
    <w:rsid w:val="00627691"/>
    <w:rsid w:val="006316CF"/>
    <w:rsid w:val="00634704"/>
    <w:rsid w:val="0067759C"/>
    <w:rsid w:val="0069445A"/>
    <w:rsid w:val="006A1F1A"/>
    <w:rsid w:val="006B359F"/>
    <w:rsid w:val="006C2040"/>
    <w:rsid w:val="006C64DF"/>
    <w:rsid w:val="006C78C8"/>
    <w:rsid w:val="006D640E"/>
    <w:rsid w:val="006D6A4C"/>
    <w:rsid w:val="006F6B2B"/>
    <w:rsid w:val="00715667"/>
    <w:rsid w:val="00723C5A"/>
    <w:rsid w:val="007267E4"/>
    <w:rsid w:val="00731406"/>
    <w:rsid w:val="0073289E"/>
    <w:rsid w:val="00732B2A"/>
    <w:rsid w:val="00741BDA"/>
    <w:rsid w:val="00762D09"/>
    <w:rsid w:val="00780870"/>
    <w:rsid w:val="00785AA6"/>
    <w:rsid w:val="007A25D3"/>
    <w:rsid w:val="007D3727"/>
    <w:rsid w:val="0083684C"/>
    <w:rsid w:val="008458C7"/>
    <w:rsid w:val="00854AAA"/>
    <w:rsid w:val="00856D44"/>
    <w:rsid w:val="00865B6A"/>
    <w:rsid w:val="00870B06"/>
    <w:rsid w:val="00895743"/>
    <w:rsid w:val="008A51AE"/>
    <w:rsid w:val="008C394A"/>
    <w:rsid w:val="008F6E50"/>
    <w:rsid w:val="00902774"/>
    <w:rsid w:val="009056AF"/>
    <w:rsid w:val="00911ACF"/>
    <w:rsid w:val="009152C8"/>
    <w:rsid w:val="00920C8D"/>
    <w:rsid w:val="00923A2F"/>
    <w:rsid w:val="00934A11"/>
    <w:rsid w:val="009418CD"/>
    <w:rsid w:val="00981A81"/>
    <w:rsid w:val="00982AB2"/>
    <w:rsid w:val="0099023D"/>
    <w:rsid w:val="009926A5"/>
    <w:rsid w:val="009B25C0"/>
    <w:rsid w:val="009C1BE9"/>
    <w:rsid w:val="009C240C"/>
    <w:rsid w:val="009D480C"/>
    <w:rsid w:val="009F6849"/>
    <w:rsid w:val="009F7376"/>
    <w:rsid w:val="009F7F75"/>
    <w:rsid w:val="00A0085D"/>
    <w:rsid w:val="00A25862"/>
    <w:rsid w:val="00A31A1F"/>
    <w:rsid w:val="00A422D0"/>
    <w:rsid w:val="00A5238F"/>
    <w:rsid w:val="00A83D4B"/>
    <w:rsid w:val="00AA1D8D"/>
    <w:rsid w:val="00AB657F"/>
    <w:rsid w:val="00AE7D9E"/>
    <w:rsid w:val="00B0234B"/>
    <w:rsid w:val="00B02FA8"/>
    <w:rsid w:val="00B16930"/>
    <w:rsid w:val="00B37EFB"/>
    <w:rsid w:val="00B47730"/>
    <w:rsid w:val="00B56680"/>
    <w:rsid w:val="00B7729A"/>
    <w:rsid w:val="00BA1F85"/>
    <w:rsid w:val="00BA4CCE"/>
    <w:rsid w:val="00BB686C"/>
    <w:rsid w:val="00BD0DA8"/>
    <w:rsid w:val="00BD0F32"/>
    <w:rsid w:val="00BE2102"/>
    <w:rsid w:val="00BF6490"/>
    <w:rsid w:val="00C36738"/>
    <w:rsid w:val="00C40E50"/>
    <w:rsid w:val="00C427CD"/>
    <w:rsid w:val="00C434E4"/>
    <w:rsid w:val="00C73741"/>
    <w:rsid w:val="00C83A3C"/>
    <w:rsid w:val="00C87680"/>
    <w:rsid w:val="00CA38EE"/>
    <w:rsid w:val="00CB0664"/>
    <w:rsid w:val="00CB621F"/>
    <w:rsid w:val="00CC69CA"/>
    <w:rsid w:val="00CD1FB2"/>
    <w:rsid w:val="00CD42C8"/>
    <w:rsid w:val="00CE6112"/>
    <w:rsid w:val="00D0298D"/>
    <w:rsid w:val="00D440C2"/>
    <w:rsid w:val="00D52871"/>
    <w:rsid w:val="00D60534"/>
    <w:rsid w:val="00D6381A"/>
    <w:rsid w:val="00D747BA"/>
    <w:rsid w:val="00D75D6D"/>
    <w:rsid w:val="00D77759"/>
    <w:rsid w:val="00D832E0"/>
    <w:rsid w:val="00D90984"/>
    <w:rsid w:val="00D96E2E"/>
    <w:rsid w:val="00DD293A"/>
    <w:rsid w:val="00E0183E"/>
    <w:rsid w:val="00E04239"/>
    <w:rsid w:val="00E250A8"/>
    <w:rsid w:val="00E4039B"/>
    <w:rsid w:val="00E50CAA"/>
    <w:rsid w:val="00E841D7"/>
    <w:rsid w:val="00E93F25"/>
    <w:rsid w:val="00EB6DD0"/>
    <w:rsid w:val="00EF1482"/>
    <w:rsid w:val="00EF769D"/>
    <w:rsid w:val="00F113A4"/>
    <w:rsid w:val="00F11839"/>
    <w:rsid w:val="00F17D66"/>
    <w:rsid w:val="00F210AF"/>
    <w:rsid w:val="00F431DB"/>
    <w:rsid w:val="00F52077"/>
    <w:rsid w:val="00F606CB"/>
    <w:rsid w:val="00F74939"/>
    <w:rsid w:val="00F74B36"/>
    <w:rsid w:val="00F8164F"/>
    <w:rsid w:val="00F846C0"/>
    <w:rsid w:val="00F96EAC"/>
    <w:rsid w:val="00F97047"/>
    <w:rsid w:val="00FB0048"/>
    <w:rsid w:val="00FB4EDD"/>
    <w:rsid w:val="00FB626B"/>
    <w:rsid w:val="00FC2B2F"/>
    <w:rsid w:val="00FC693F"/>
    <w:rsid w:val="00FD515F"/>
    <w:rsid w:val="00FE006E"/>
    <w:rsid w:val="00FE3630"/>
    <w:rsid w:val="00FE5895"/>
    <w:rsid w:val="00FF0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date"/>
  <w:shapeDefaults>
    <o:shapedefaults v:ext="edit" spidmax="1026"/>
    <o:shapelayout v:ext="edit">
      <o:idmap v:ext="edit" data="1"/>
    </o:shapelayout>
  </w:shapeDefaults>
  <w:decimalSymbol w:val="."/>
  <w:listSeparator w:val=","/>
  <w14:docId w14:val="69AC8080"/>
  <w15:docId w15:val="{7925249C-2032-4E0D-9453-8E43ECA93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85C"/>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2E24A4"/>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0C65EE"/>
    <w:rPr>
      <w:sz w:val="16"/>
      <w:szCs w:val="16"/>
    </w:rPr>
  </w:style>
  <w:style w:type="paragraph" w:styleId="Textodecomentrio">
    <w:name w:val="annotation text"/>
    <w:basedOn w:val="Normal"/>
    <w:link w:val="TextodecomentrioChar"/>
    <w:uiPriority w:val="99"/>
    <w:unhideWhenUsed/>
    <w:rsid w:val="000C65EE"/>
    <w:pPr>
      <w:spacing w:after="160" w:line="240" w:lineRule="auto"/>
    </w:pPr>
    <w:rPr>
      <w:rFonts w:ascii="Calibri" w:eastAsia="Calibri" w:hAnsi="Calibri" w:cs="Calibri"/>
      <w:sz w:val="20"/>
      <w:szCs w:val="20"/>
      <w:lang w:val="pt" w:eastAsia="pt-BR"/>
    </w:rPr>
  </w:style>
  <w:style w:type="character" w:customStyle="1" w:styleId="TextodecomentrioChar">
    <w:name w:val="Texto de comentário Char"/>
    <w:basedOn w:val="Fontepargpadro"/>
    <w:link w:val="Textodecomentrio"/>
    <w:uiPriority w:val="99"/>
    <w:rsid w:val="000C65EE"/>
    <w:rPr>
      <w:rFonts w:ascii="Calibri" w:eastAsia="Calibri" w:hAnsi="Calibri" w:cs="Calibri"/>
      <w:sz w:val="20"/>
      <w:szCs w:val="20"/>
      <w:lang w:val="pt" w:eastAsia="pt-BR"/>
    </w:rPr>
  </w:style>
  <w:style w:type="paragraph" w:styleId="Assuntodocomentrio">
    <w:name w:val="annotation subject"/>
    <w:basedOn w:val="Textodecomentrio"/>
    <w:next w:val="Textodecomentrio"/>
    <w:link w:val="AssuntodocomentrioChar"/>
    <w:uiPriority w:val="99"/>
    <w:semiHidden/>
    <w:unhideWhenUsed/>
    <w:rsid w:val="00E50CAA"/>
    <w:pPr>
      <w:spacing w:after="200"/>
    </w:pPr>
    <w:rPr>
      <w:rFonts w:asciiTheme="minorHAnsi" w:eastAsiaTheme="minorEastAsia" w:hAnsiTheme="minorHAnsi" w:cstheme="minorBidi"/>
      <w:b/>
      <w:bCs/>
      <w:lang w:val="en-US" w:eastAsia="en-US"/>
    </w:rPr>
  </w:style>
  <w:style w:type="character" w:customStyle="1" w:styleId="AssuntodocomentrioChar">
    <w:name w:val="Assunto do comentário Char"/>
    <w:basedOn w:val="TextodecomentrioChar"/>
    <w:link w:val="Assuntodocomentrio"/>
    <w:uiPriority w:val="99"/>
    <w:semiHidden/>
    <w:rsid w:val="00E50CAA"/>
    <w:rPr>
      <w:rFonts w:ascii="Calibri" w:eastAsia="Calibri" w:hAnsi="Calibri" w:cs="Calibri"/>
      <w:b/>
      <w:bCs/>
      <w:sz w:val="20"/>
      <w:szCs w:val="20"/>
      <w:lang w:val="pt" w:eastAsia="pt-BR"/>
    </w:rPr>
  </w:style>
  <w:style w:type="paragraph" w:styleId="Textodebalo">
    <w:name w:val="Balloon Text"/>
    <w:basedOn w:val="Normal"/>
    <w:link w:val="TextodebaloChar"/>
    <w:uiPriority w:val="99"/>
    <w:semiHidden/>
    <w:unhideWhenUsed/>
    <w:rsid w:val="00A31A1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31A1F"/>
    <w:rPr>
      <w:rFonts w:ascii="Segoe UI" w:hAnsi="Segoe UI" w:cs="Segoe UI"/>
      <w:sz w:val="18"/>
      <w:szCs w:val="18"/>
    </w:rPr>
  </w:style>
  <w:style w:type="character" w:styleId="Hyperlink">
    <w:name w:val="Hyperlink"/>
    <w:basedOn w:val="Fontepargpadro"/>
    <w:uiPriority w:val="99"/>
    <w:unhideWhenUsed/>
    <w:rsid w:val="00F97047"/>
    <w:rPr>
      <w:color w:val="0000FF" w:themeColor="hyperlink"/>
      <w:u w:val="single"/>
    </w:rPr>
  </w:style>
  <w:style w:type="character" w:styleId="HiperlinkVisitado">
    <w:name w:val="FollowedHyperlink"/>
    <w:basedOn w:val="Fontepargpadro"/>
    <w:uiPriority w:val="99"/>
    <w:semiHidden/>
    <w:unhideWhenUsed/>
    <w:rsid w:val="00CE6112"/>
    <w:rPr>
      <w:color w:val="800080" w:themeColor="followedHyperlink"/>
      <w:u w:val="single"/>
    </w:rPr>
  </w:style>
  <w:style w:type="paragraph" w:styleId="Sumrio1">
    <w:name w:val="toc 1"/>
    <w:basedOn w:val="Normal"/>
    <w:next w:val="Normal"/>
    <w:autoRedefine/>
    <w:uiPriority w:val="39"/>
    <w:unhideWhenUsed/>
    <w:rsid w:val="00E841D7"/>
    <w:pPr>
      <w:spacing w:after="100"/>
    </w:pPr>
  </w:style>
  <w:style w:type="paragraph" w:styleId="Sumrio2">
    <w:name w:val="toc 2"/>
    <w:basedOn w:val="Normal"/>
    <w:next w:val="Normal"/>
    <w:autoRedefine/>
    <w:uiPriority w:val="39"/>
    <w:unhideWhenUsed/>
    <w:rsid w:val="009F7F75"/>
    <w:pPr>
      <w:spacing w:after="100"/>
      <w:ind w:left="220"/>
    </w:pPr>
  </w:style>
  <w:style w:type="paragraph" w:styleId="Sumrio3">
    <w:name w:val="toc 3"/>
    <w:basedOn w:val="Normal"/>
    <w:next w:val="Normal"/>
    <w:autoRedefine/>
    <w:uiPriority w:val="39"/>
    <w:unhideWhenUsed/>
    <w:rsid w:val="009F7F7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49504">
      <w:bodyDiv w:val="1"/>
      <w:marLeft w:val="0"/>
      <w:marRight w:val="0"/>
      <w:marTop w:val="0"/>
      <w:marBottom w:val="0"/>
      <w:divBdr>
        <w:top w:val="none" w:sz="0" w:space="0" w:color="auto"/>
        <w:left w:val="none" w:sz="0" w:space="0" w:color="auto"/>
        <w:bottom w:val="none" w:sz="0" w:space="0" w:color="auto"/>
        <w:right w:val="none" w:sz="0" w:space="0" w:color="auto"/>
      </w:divBdr>
    </w:div>
    <w:div w:id="178275315">
      <w:bodyDiv w:val="1"/>
      <w:marLeft w:val="0"/>
      <w:marRight w:val="0"/>
      <w:marTop w:val="0"/>
      <w:marBottom w:val="0"/>
      <w:divBdr>
        <w:top w:val="none" w:sz="0" w:space="0" w:color="auto"/>
        <w:left w:val="none" w:sz="0" w:space="0" w:color="auto"/>
        <w:bottom w:val="none" w:sz="0" w:space="0" w:color="auto"/>
        <w:right w:val="none" w:sz="0" w:space="0" w:color="auto"/>
      </w:divBdr>
      <w:divsChild>
        <w:div w:id="649360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6113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5581536">
      <w:bodyDiv w:val="1"/>
      <w:marLeft w:val="0"/>
      <w:marRight w:val="0"/>
      <w:marTop w:val="0"/>
      <w:marBottom w:val="0"/>
      <w:divBdr>
        <w:top w:val="none" w:sz="0" w:space="0" w:color="auto"/>
        <w:left w:val="none" w:sz="0" w:space="0" w:color="auto"/>
        <w:bottom w:val="none" w:sz="0" w:space="0" w:color="auto"/>
        <w:right w:val="none" w:sz="0" w:space="0" w:color="auto"/>
      </w:divBdr>
    </w:div>
    <w:div w:id="269510911">
      <w:bodyDiv w:val="1"/>
      <w:marLeft w:val="0"/>
      <w:marRight w:val="0"/>
      <w:marTop w:val="0"/>
      <w:marBottom w:val="0"/>
      <w:divBdr>
        <w:top w:val="none" w:sz="0" w:space="0" w:color="auto"/>
        <w:left w:val="none" w:sz="0" w:space="0" w:color="auto"/>
        <w:bottom w:val="none" w:sz="0" w:space="0" w:color="auto"/>
        <w:right w:val="none" w:sz="0" w:space="0" w:color="auto"/>
      </w:divBdr>
    </w:div>
    <w:div w:id="413549626">
      <w:bodyDiv w:val="1"/>
      <w:marLeft w:val="0"/>
      <w:marRight w:val="0"/>
      <w:marTop w:val="0"/>
      <w:marBottom w:val="0"/>
      <w:divBdr>
        <w:top w:val="none" w:sz="0" w:space="0" w:color="auto"/>
        <w:left w:val="none" w:sz="0" w:space="0" w:color="auto"/>
        <w:bottom w:val="none" w:sz="0" w:space="0" w:color="auto"/>
        <w:right w:val="none" w:sz="0" w:space="0" w:color="auto"/>
      </w:divBdr>
    </w:div>
    <w:div w:id="741486956">
      <w:bodyDiv w:val="1"/>
      <w:marLeft w:val="0"/>
      <w:marRight w:val="0"/>
      <w:marTop w:val="0"/>
      <w:marBottom w:val="0"/>
      <w:divBdr>
        <w:top w:val="none" w:sz="0" w:space="0" w:color="auto"/>
        <w:left w:val="none" w:sz="0" w:space="0" w:color="auto"/>
        <w:bottom w:val="none" w:sz="0" w:space="0" w:color="auto"/>
        <w:right w:val="none" w:sz="0" w:space="0" w:color="auto"/>
      </w:divBdr>
    </w:div>
    <w:div w:id="1281956829">
      <w:bodyDiv w:val="1"/>
      <w:marLeft w:val="0"/>
      <w:marRight w:val="0"/>
      <w:marTop w:val="0"/>
      <w:marBottom w:val="0"/>
      <w:divBdr>
        <w:top w:val="none" w:sz="0" w:space="0" w:color="auto"/>
        <w:left w:val="none" w:sz="0" w:space="0" w:color="auto"/>
        <w:bottom w:val="none" w:sz="0" w:space="0" w:color="auto"/>
        <w:right w:val="none" w:sz="0" w:space="0" w:color="auto"/>
      </w:divBdr>
    </w:div>
    <w:div w:id="1282880010">
      <w:bodyDiv w:val="1"/>
      <w:marLeft w:val="0"/>
      <w:marRight w:val="0"/>
      <w:marTop w:val="0"/>
      <w:marBottom w:val="0"/>
      <w:divBdr>
        <w:top w:val="none" w:sz="0" w:space="0" w:color="auto"/>
        <w:left w:val="none" w:sz="0" w:space="0" w:color="auto"/>
        <w:bottom w:val="none" w:sz="0" w:space="0" w:color="auto"/>
        <w:right w:val="none" w:sz="0" w:space="0" w:color="auto"/>
      </w:divBdr>
    </w:div>
    <w:div w:id="1298031306">
      <w:bodyDiv w:val="1"/>
      <w:marLeft w:val="0"/>
      <w:marRight w:val="0"/>
      <w:marTop w:val="0"/>
      <w:marBottom w:val="0"/>
      <w:divBdr>
        <w:top w:val="none" w:sz="0" w:space="0" w:color="auto"/>
        <w:left w:val="none" w:sz="0" w:space="0" w:color="auto"/>
        <w:bottom w:val="none" w:sz="0" w:space="0" w:color="auto"/>
        <w:right w:val="none" w:sz="0" w:space="0" w:color="auto"/>
      </w:divBdr>
    </w:div>
    <w:div w:id="1351761441">
      <w:bodyDiv w:val="1"/>
      <w:marLeft w:val="0"/>
      <w:marRight w:val="0"/>
      <w:marTop w:val="0"/>
      <w:marBottom w:val="0"/>
      <w:divBdr>
        <w:top w:val="none" w:sz="0" w:space="0" w:color="auto"/>
        <w:left w:val="none" w:sz="0" w:space="0" w:color="auto"/>
        <w:bottom w:val="none" w:sz="0" w:space="0" w:color="auto"/>
        <w:right w:val="none" w:sz="0" w:space="0" w:color="auto"/>
      </w:divBdr>
      <w:divsChild>
        <w:div w:id="56130077">
          <w:marLeft w:val="0"/>
          <w:marRight w:val="0"/>
          <w:marTop w:val="240"/>
          <w:marBottom w:val="240"/>
          <w:divBdr>
            <w:top w:val="none" w:sz="0" w:space="0" w:color="auto"/>
            <w:left w:val="none" w:sz="0" w:space="0" w:color="auto"/>
            <w:bottom w:val="none" w:sz="0" w:space="0" w:color="auto"/>
            <w:right w:val="none" w:sz="0" w:space="0" w:color="auto"/>
          </w:divBdr>
        </w:div>
      </w:divsChild>
    </w:div>
    <w:div w:id="1601720594">
      <w:bodyDiv w:val="1"/>
      <w:marLeft w:val="0"/>
      <w:marRight w:val="0"/>
      <w:marTop w:val="0"/>
      <w:marBottom w:val="0"/>
      <w:divBdr>
        <w:top w:val="none" w:sz="0" w:space="0" w:color="auto"/>
        <w:left w:val="none" w:sz="0" w:space="0" w:color="auto"/>
        <w:bottom w:val="none" w:sz="0" w:space="0" w:color="auto"/>
        <w:right w:val="none" w:sz="0" w:space="0" w:color="auto"/>
      </w:divBdr>
    </w:div>
    <w:div w:id="1697778004">
      <w:bodyDiv w:val="1"/>
      <w:marLeft w:val="0"/>
      <w:marRight w:val="0"/>
      <w:marTop w:val="0"/>
      <w:marBottom w:val="0"/>
      <w:divBdr>
        <w:top w:val="none" w:sz="0" w:space="0" w:color="auto"/>
        <w:left w:val="none" w:sz="0" w:space="0" w:color="auto"/>
        <w:bottom w:val="none" w:sz="0" w:space="0" w:color="auto"/>
        <w:right w:val="none" w:sz="0" w:space="0" w:color="auto"/>
      </w:divBdr>
    </w:div>
    <w:div w:id="1783108440">
      <w:bodyDiv w:val="1"/>
      <w:marLeft w:val="0"/>
      <w:marRight w:val="0"/>
      <w:marTop w:val="0"/>
      <w:marBottom w:val="0"/>
      <w:divBdr>
        <w:top w:val="none" w:sz="0" w:space="0" w:color="auto"/>
        <w:left w:val="none" w:sz="0" w:space="0" w:color="auto"/>
        <w:bottom w:val="none" w:sz="0" w:space="0" w:color="auto"/>
        <w:right w:val="none" w:sz="0" w:space="0" w:color="auto"/>
      </w:divBdr>
    </w:div>
    <w:div w:id="1841390349">
      <w:bodyDiv w:val="1"/>
      <w:marLeft w:val="0"/>
      <w:marRight w:val="0"/>
      <w:marTop w:val="0"/>
      <w:marBottom w:val="0"/>
      <w:divBdr>
        <w:top w:val="none" w:sz="0" w:space="0" w:color="auto"/>
        <w:left w:val="none" w:sz="0" w:space="0" w:color="auto"/>
        <w:bottom w:val="none" w:sz="0" w:space="0" w:color="auto"/>
        <w:right w:val="none" w:sz="0" w:space="0" w:color="auto"/>
      </w:divBdr>
    </w:div>
    <w:div w:id="1907762530">
      <w:bodyDiv w:val="1"/>
      <w:marLeft w:val="0"/>
      <w:marRight w:val="0"/>
      <w:marTop w:val="0"/>
      <w:marBottom w:val="0"/>
      <w:divBdr>
        <w:top w:val="none" w:sz="0" w:space="0" w:color="auto"/>
        <w:left w:val="none" w:sz="0" w:space="0" w:color="auto"/>
        <w:bottom w:val="none" w:sz="0" w:space="0" w:color="auto"/>
        <w:right w:val="none" w:sz="0" w:space="0" w:color="auto"/>
      </w:divBdr>
    </w:div>
    <w:div w:id="2010908545">
      <w:bodyDiv w:val="1"/>
      <w:marLeft w:val="0"/>
      <w:marRight w:val="0"/>
      <w:marTop w:val="0"/>
      <w:marBottom w:val="0"/>
      <w:divBdr>
        <w:top w:val="none" w:sz="0" w:space="0" w:color="auto"/>
        <w:left w:val="none" w:sz="0" w:space="0" w:color="auto"/>
        <w:bottom w:val="none" w:sz="0" w:space="0" w:color="auto"/>
        <w:right w:val="none" w:sz="0" w:space="0" w:color="auto"/>
      </w:divBdr>
    </w:div>
    <w:div w:id="2044090655">
      <w:bodyDiv w:val="1"/>
      <w:marLeft w:val="0"/>
      <w:marRight w:val="0"/>
      <w:marTop w:val="0"/>
      <w:marBottom w:val="0"/>
      <w:divBdr>
        <w:top w:val="none" w:sz="0" w:space="0" w:color="auto"/>
        <w:left w:val="none" w:sz="0" w:space="0" w:color="auto"/>
        <w:bottom w:val="none" w:sz="0" w:space="0" w:color="auto"/>
        <w:right w:val="none" w:sz="0" w:space="0" w:color="auto"/>
      </w:divBdr>
    </w:div>
    <w:div w:id="2092505397">
      <w:bodyDiv w:val="1"/>
      <w:marLeft w:val="0"/>
      <w:marRight w:val="0"/>
      <w:marTop w:val="0"/>
      <w:marBottom w:val="0"/>
      <w:divBdr>
        <w:top w:val="none" w:sz="0" w:space="0" w:color="auto"/>
        <w:left w:val="none" w:sz="0" w:space="0" w:color="auto"/>
        <w:bottom w:val="none" w:sz="0" w:space="0" w:color="auto"/>
        <w:right w:val="none" w:sz="0" w:space="0" w:color="auto"/>
      </w:divBdr>
    </w:div>
    <w:div w:id="2133816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hyperlink" Target="https://mozestuda.com/livro-de-matematica-financeira-alvaro-macedo-em-pdf/"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www.ufrgs.br/ocsc/wp-content/uploads/2022/11/obra-SUPERENDIVIDAMENTO-E-PROTECAO-DO-CONSUMIDOR.pdf?utm_source=chatgpt.com" TargetMode="External"/><Relationship Id="rId2" Type="http://schemas.openxmlformats.org/officeDocument/2006/relationships/numbering" Target="numbering.xml"/><Relationship Id="rId16" Type="http://schemas.openxmlformats.org/officeDocument/2006/relationships/hyperlink" Target="https://repositorio.ufpb.br/jspui/bitstream/123456789/30426/1/EduardoGomes_TCC.pdf?utm_source=chatgpt.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s://www.cnj.jus.br/wp-content/uploads/2022/08/cartilha-superendividamento.pdf" TargetMode="External"/><Relationship Id="rId10" Type="http://schemas.openxmlformats.org/officeDocument/2006/relationships/chart" Target="charts/chart2.xml"/><Relationship Id="rId19" Type="http://schemas.openxmlformats.org/officeDocument/2006/relationships/hyperlink" Target="https://www.serasa.com.br/limpa-nome-online/blog/mapa-da-inadimplencia-e-renogociacao-de-dividas-no-brasil/?utm_source=chatgpt.com"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planalto.gov.br/ccivil_03/_ato2019-2022/2021/lei/L14181.htm" TargetMode="External"/><Relationship Id="rId22" Type="http://schemas.openxmlformats.org/officeDocument/2006/relationships/theme" Target="theme/theme1.xml"/><Relationship Id="rId27" Type="http://schemas.microsoft.com/office/2016/09/relationships/commentsIds" Target="commentsId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Question&#225;rio%20&#8211;%20Planejamento%20Financeiro%20e%20Superendividamento%20%20(respost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Question&#225;rio%20&#8211;%20Planejamento%20Financeiro%20e%20Superendividamento%20%20(respost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wnloads\Question&#225;rio%20&#8211;%20Planejamento%20Financeiro%20e%20Superendividamento%20%20(respost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laudio.filho\Desktop\Claudio\Question&#225;rio%20&#8211;%20Planejamento%20Financeiro%20e%20Superendividamento%20%20(respost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laudio.filho\Desktop\Claudio\Question&#225;rio%20&#8211;%20Planejamento%20Financeiro%20e%20Superendividamento%20%20(respos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[Questionário – Planejamento Financeiro e Superendividamento  (respostas).xlsx]Planilha1!Tabela dinâmica9</c:name>
    <c:fmtId val="-1"/>
  </c:pivotSource>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 Você costuma organizar mensalmente seus gastos e receitas por meio de anotações, planilhas ou aplicativos? </a:t>
            </a:r>
          </a:p>
        </c:rich>
      </c:tx>
      <c:overlay val="0"/>
      <c:spPr>
        <a:noFill/>
        <a:ln>
          <a:noFill/>
        </a:ln>
        <a:effectLst/>
      </c:spPr>
    </c:title>
    <c:autoTitleDeleted val="0"/>
    <c:pivotFmts>
      <c:pivotFmt>
        <c:idx val="0"/>
        <c:spPr>
          <a:solidFill>
            <a:schemeClr val="accent1"/>
          </a:solidFill>
          <a:ln w="9525" cap="flat" cmpd="sng" algn="ctr">
            <a:noFill/>
            <a:round/>
          </a:ln>
          <a:effectLst/>
        </c:spPr>
        <c:marker>
          <c:symbol val="none"/>
        </c:marker>
      </c:pivotFmt>
      <c:pivotFmt>
        <c:idx val="1"/>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9525" cap="flat" cmpd="sng" algn="ctr">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Planilha1!$B$3</c:f>
              <c:strCache>
                <c:ptCount val="1"/>
                <c:pt idx="0">
                  <c:v>Total</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Planilha1!$A$4:$A$6</c:f>
              <c:strCache>
                <c:ptCount val="3"/>
                <c:pt idx="0">
                  <c:v>Às vezes</c:v>
                </c:pt>
                <c:pt idx="1">
                  <c:v>Não</c:v>
                </c:pt>
                <c:pt idx="2">
                  <c:v>Sim</c:v>
                </c:pt>
              </c:strCache>
            </c:strRef>
          </c:cat>
          <c:val>
            <c:numRef>
              <c:f>Planilha1!$B$4:$B$6</c:f>
              <c:numCache>
                <c:formatCode>0.00%</c:formatCode>
                <c:ptCount val="3"/>
                <c:pt idx="0">
                  <c:v>0.16666666666666666</c:v>
                </c:pt>
                <c:pt idx="1">
                  <c:v>0.25</c:v>
                </c:pt>
                <c:pt idx="2">
                  <c:v>0.58333333333333337</c:v>
                </c:pt>
              </c:numCache>
            </c:numRef>
          </c:val>
          <c:extLst>
            <c:ext xmlns:c16="http://schemas.microsoft.com/office/drawing/2014/chart" uri="{C3380CC4-5D6E-409C-BE32-E72D297353CC}">
              <c16:uniqueId val="{00000000-3266-4C00-A59A-B0A6F6F92DD2}"/>
            </c:ext>
          </c:extLst>
        </c:ser>
        <c:dLbls>
          <c:dLblPos val="inEnd"/>
          <c:showLegendKey val="0"/>
          <c:showVal val="1"/>
          <c:showCatName val="0"/>
          <c:showSerName val="0"/>
          <c:showPercent val="0"/>
          <c:showBubbleSize val="0"/>
        </c:dLbls>
        <c:gapWidth val="65"/>
        <c:axId val="245656576"/>
        <c:axId val="245729152"/>
      </c:barChart>
      <c:catAx>
        <c:axId val="2456565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45729152"/>
        <c:crosses val="autoZero"/>
        <c:auto val="1"/>
        <c:lblAlgn val="ctr"/>
        <c:lblOffset val="100"/>
        <c:noMultiLvlLbl val="0"/>
      </c:catAx>
      <c:valAx>
        <c:axId val="2457291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24565657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outerShdw blurRad="50800" dist="38100" dir="2700000" algn="tl" rotWithShape="0">
        <a:prstClr val="black">
          <a:alpha val="40000"/>
        </a:prstClr>
      </a:outerShdw>
    </a:effectLst>
    <a:scene3d>
      <a:camera prst="orthographicFront"/>
      <a:lightRig rig="flood" dir="t"/>
    </a:scene3d>
    <a:sp3d prstMaterial="dkEdge">
      <a:bevelT/>
      <a:bevelB prst="angle"/>
    </a:sp3d>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[Questionário – Planejamento Financeiro e Superendividamento  (respostas).xlsx]Planilha2!Tabela dinâmica18</c:name>
    <c:fmtId val="-1"/>
  </c:pivotSource>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 Qual é o percentual aproximado da sua renda mensal atualmente que</a:t>
            </a:r>
            <a:r>
              <a:rPr lang="en-US" sz="1200" baseline="0"/>
              <a:t> esta</a:t>
            </a:r>
            <a:r>
              <a:rPr lang="en-US" sz="1200"/>
              <a:t> comprometido com dívidas (empréstimos, cartões, financiamentos etc.)?</a:t>
            </a:r>
          </a:p>
        </c:rich>
      </c:tx>
      <c:overlay val="0"/>
      <c:spPr>
        <a:noFill/>
        <a:ln>
          <a:noFill/>
        </a:ln>
        <a:effectLst/>
      </c:spPr>
    </c:title>
    <c:autoTitleDeleted val="0"/>
    <c:pivotFmts>
      <c:pivotFmt>
        <c:idx val="0"/>
      </c:pivotFmt>
      <c:pivotFmt>
        <c:idx val="1"/>
        <c:spPr>
          <a:solidFill>
            <a:schemeClr val="accent1"/>
          </a:solidFill>
          <a:ln>
            <a:noFill/>
          </a:ln>
          <a:effectLst>
            <a:outerShdw blurRad="254000" sx="102000" sy="102000" algn="ctr" rotWithShape="0">
              <a:prstClr val="black">
                <a:alpha val="20000"/>
              </a:prstClr>
            </a:outerShdw>
          </a:effectLst>
          <a:sp3d/>
        </c:spPr>
        <c:marker>
          <c:symbol val="circle"/>
          <c:size val="6"/>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a:noFill/>
          </a:ln>
          <a:effectLst>
            <a:outerShdw blurRad="254000" sx="102000" sy="102000" algn="ctr" rotWithShape="0">
              <a:prstClr val="black">
                <a:alpha val="20000"/>
              </a:prstClr>
            </a:outerShdw>
          </a:effectLst>
          <a:sp3d/>
        </c:spPr>
        <c:marker>
          <c:symbol val="none"/>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3"/>
        <c:spPr>
          <a:solidFill>
            <a:schemeClr val="accent1"/>
          </a:solidFill>
          <a:ln>
            <a:noFill/>
          </a:ln>
          <a:effectLst>
            <a:outerShdw blurRad="254000" sx="102000" sy="102000" algn="ctr" rotWithShape="0">
              <a:prstClr val="black">
                <a:alpha val="20000"/>
              </a:prstClr>
            </a:outerShdw>
          </a:effectLst>
          <a:sp3d/>
        </c:spPr>
      </c:pivotFmt>
      <c:pivotFmt>
        <c:idx val="4"/>
        <c:spPr>
          <a:solidFill>
            <a:schemeClr val="accent1"/>
          </a:solidFill>
          <a:ln>
            <a:noFill/>
          </a:ln>
          <a:effectLst>
            <a:outerShdw blurRad="254000" sx="102000" sy="102000" algn="ctr" rotWithShape="0">
              <a:prstClr val="black">
                <a:alpha val="20000"/>
              </a:prstClr>
            </a:outerShdw>
          </a:effectLst>
          <a:sp3d/>
        </c:spPr>
      </c:pivotFmt>
      <c:pivotFmt>
        <c:idx val="5"/>
        <c:spPr>
          <a:solidFill>
            <a:schemeClr val="accent1"/>
          </a:solidFill>
          <a:ln>
            <a:noFill/>
          </a:ln>
          <a:effectLst>
            <a:outerShdw blurRad="254000" sx="102000" sy="102000" algn="ctr" rotWithShape="0">
              <a:prstClr val="black">
                <a:alpha val="20000"/>
              </a:prstClr>
            </a:outerShdw>
          </a:effectLst>
          <a:sp3d/>
        </c:spPr>
      </c:pivotFmt>
      <c:pivotFmt>
        <c:idx val="6"/>
        <c:spPr>
          <a:solidFill>
            <a:schemeClr val="accent1"/>
          </a:solidFill>
          <a:ln>
            <a:noFill/>
          </a:ln>
          <a:effectLst>
            <a:outerShdw blurRad="254000" sx="102000" sy="102000" algn="ctr" rotWithShape="0">
              <a:prstClr val="black">
                <a:alpha val="20000"/>
              </a:prstClr>
            </a:outerShdw>
          </a:effectLst>
          <a:sp3d/>
        </c:spPr>
      </c:pivotFmt>
      <c:pivotFmt>
        <c:idx val="7"/>
        <c:spPr>
          <a:solidFill>
            <a:schemeClr val="accent1"/>
          </a:solidFill>
          <a:ln>
            <a:noFill/>
          </a:ln>
          <a:effectLst>
            <a:outerShdw blurRad="254000" sx="102000" sy="102000" algn="ctr" rotWithShape="0">
              <a:prstClr val="black">
                <a:alpha val="20000"/>
              </a:prstClr>
            </a:outerShdw>
          </a:effectLst>
          <a:sp3d/>
        </c:spPr>
        <c:marker>
          <c:symbol val="none"/>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8"/>
        <c:spPr>
          <a:solidFill>
            <a:schemeClr val="accent1"/>
          </a:solidFill>
          <a:ln>
            <a:noFill/>
          </a:ln>
          <a:effectLst>
            <a:outerShdw blurRad="254000" sx="102000" sy="102000" algn="ctr" rotWithShape="0">
              <a:prstClr val="black">
                <a:alpha val="20000"/>
              </a:prstClr>
            </a:outerShdw>
          </a:effectLst>
          <a:sp3d/>
        </c:spPr>
      </c:pivotFmt>
      <c:pivotFmt>
        <c:idx val="9"/>
        <c:spPr>
          <a:solidFill>
            <a:schemeClr val="accent1"/>
          </a:solidFill>
          <a:ln>
            <a:noFill/>
          </a:ln>
          <a:effectLst>
            <a:outerShdw blurRad="254000" sx="102000" sy="102000" algn="ctr" rotWithShape="0">
              <a:prstClr val="black">
                <a:alpha val="20000"/>
              </a:prstClr>
            </a:outerShdw>
          </a:effectLst>
          <a:sp3d/>
        </c:spPr>
      </c:pivotFmt>
      <c:pivotFmt>
        <c:idx val="10"/>
        <c:spPr>
          <a:solidFill>
            <a:schemeClr val="accent1"/>
          </a:solidFill>
          <a:ln>
            <a:noFill/>
          </a:ln>
          <a:effectLst>
            <a:outerShdw blurRad="254000" sx="102000" sy="102000" algn="ctr" rotWithShape="0">
              <a:prstClr val="black">
                <a:alpha val="20000"/>
              </a:prstClr>
            </a:outerShdw>
          </a:effectLst>
          <a:sp3d/>
        </c:spPr>
      </c:pivotFmt>
      <c:pivotFmt>
        <c:idx val="11"/>
        <c:spPr>
          <a:solidFill>
            <a:schemeClr val="accent1"/>
          </a:solidFill>
          <a:ln>
            <a:noFill/>
          </a:ln>
          <a:effectLst>
            <a:outerShdw blurRad="254000" sx="102000" sy="102000" algn="ctr" rotWithShape="0">
              <a:prstClr val="black">
                <a:alpha val="20000"/>
              </a:prstClr>
            </a:outerShdw>
          </a:effectLst>
          <a:sp3d/>
        </c:spPr>
      </c:pivotFmt>
    </c:pivotFmts>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Planilha2!$B$3</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568-4F0F-B6A7-6F22BC1FB45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568-4F0F-B6A7-6F22BC1FB45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568-4F0F-B6A7-6F22BC1FB45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568-4F0F-B6A7-6F22BC1FB456}"/>
              </c:ext>
            </c:extLst>
          </c:dPt>
          <c:dLbls>
            <c:dLbl>
              <c:idx val="3"/>
              <c:layout>
                <c:manualLayout>
                  <c:x val="1.0472808863074806E-2"/>
                  <c:y val="7.2778029464664384E-2"/>
                </c:manualLayout>
              </c:layout>
              <c:tx>
                <c:rich>
                  <a:bodyPr/>
                  <a:lstStyle/>
                  <a:p>
                    <a:r>
                      <a:rPr lang="en-US" sz="800"/>
                      <a:t>3%</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568-4F0F-B6A7-6F22BC1FB456}"/>
                </c:ext>
              </c:extLst>
            </c:dLbl>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Planilha2!$A$4:$A$7</c:f>
              <c:strCache>
                <c:ptCount val="4"/>
                <c:pt idx="0">
                  <c:v>Acima de 50%</c:v>
                </c:pt>
                <c:pt idx="1">
                  <c:v>Até 25%</c:v>
                </c:pt>
                <c:pt idx="2">
                  <c:v>Entre 26% e 50%</c:v>
                </c:pt>
                <c:pt idx="3">
                  <c:v>Não tenho dívidas</c:v>
                </c:pt>
              </c:strCache>
            </c:strRef>
          </c:cat>
          <c:val>
            <c:numRef>
              <c:f>Planilha2!$B$4:$B$7</c:f>
              <c:numCache>
                <c:formatCode>General</c:formatCode>
                <c:ptCount val="4"/>
                <c:pt idx="0">
                  <c:v>12</c:v>
                </c:pt>
                <c:pt idx="1">
                  <c:v>7</c:v>
                </c:pt>
                <c:pt idx="2">
                  <c:v>16</c:v>
                </c:pt>
                <c:pt idx="3">
                  <c:v>1</c:v>
                </c:pt>
              </c:numCache>
            </c:numRef>
          </c:val>
          <c:extLst>
            <c:ext xmlns:c16="http://schemas.microsoft.com/office/drawing/2014/chart" uri="{C3380CC4-5D6E-409C-BE32-E72D297353CC}">
              <c16:uniqueId val="{00000008-5568-4F0F-B6A7-6F22BC1FB45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outerShdw blurRad="50800" dist="38100" dir="2700000" algn="tl" rotWithShape="0">
        <a:prstClr val="black">
          <a:alpha val="40000"/>
        </a:prstClr>
      </a:outerShdw>
    </a:effectLst>
    <a:scene3d>
      <a:camera prst="orthographicFront"/>
      <a:lightRig rig="threePt" dir="t"/>
    </a:scene3d>
    <a:sp3d prstMaterial="dkEdge">
      <a:bevelT/>
      <a:bevelB prst="angle"/>
    </a:sp3d>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[Questionário – Planejamento Financeiro e Superendividamento  (respostas).xlsx]Planilha3!Tabela dinâmica23</c:name>
    <c:fmtId val="-1"/>
  </c:pivotSource>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pt-BR" sz="1200" b="1" i="0" u="none" strike="noStrike" baseline="0">
                <a:effectLst/>
              </a:rPr>
              <a:t>Você já ouviu falar na Lei nº 14.181/2021 (Lei do Superendividamento)?</a:t>
            </a:r>
            <a:endParaRPr lang="en-US" sz="1200"/>
          </a:p>
        </c:rich>
      </c:tx>
      <c:overlay val="0"/>
      <c:spPr>
        <a:noFill/>
        <a:ln>
          <a:noFill/>
        </a:ln>
        <a:effectLst/>
      </c:spPr>
    </c:title>
    <c:autoTitleDeleted val="0"/>
    <c:pivotFmts>
      <c:pivotFmt>
        <c:idx val="0"/>
      </c:pivotFmt>
      <c:pivotFmt>
        <c:idx val="1"/>
        <c:spPr>
          <a:solidFill>
            <a:schemeClr val="accent1">
              <a:alpha val="85000"/>
            </a:schemeClr>
          </a:solidFill>
          <a:ln w="9525" cap="flat" cmpd="sng" algn="ctr">
            <a:solidFill>
              <a:schemeClr val="lt1">
                <a:alpha val="50000"/>
              </a:schemeClr>
            </a:solidFill>
            <a:round/>
          </a:ln>
          <a:effectLst/>
        </c:spPr>
        <c:marker>
          <c:spPr>
            <a:solidFill>
              <a:schemeClr val="accent1">
                <a:alpha val="85000"/>
              </a:schemeClr>
            </a:solidFill>
            <a:ln>
              <a:noFill/>
            </a:ln>
            <a:effectLst/>
          </c:spPr>
        </c:marker>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alpha val="85000"/>
            </a:schemeClr>
          </a:solidFill>
          <a:ln w="9525" cap="flat" cmpd="sng" algn="ctr">
            <a:solidFill>
              <a:schemeClr val="lt1">
                <a:alpha val="50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alpha val="85000"/>
            </a:schemeClr>
          </a:solidFill>
          <a:ln w="9525" cap="flat" cmpd="sng" algn="ctr">
            <a:solidFill>
              <a:schemeClr val="lt1">
                <a:alpha val="50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Planilha3!$B$3</c:f>
              <c:strCache>
                <c:ptCount val="1"/>
                <c:pt idx="0">
                  <c:v>Total</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Planilha3!$A$4:$A$6</c:f>
              <c:strCache>
                <c:ptCount val="3"/>
                <c:pt idx="0">
                  <c:v>Já ouvi falar, mas não sei os detalhes</c:v>
                </c:pt>
                <c:pt idx="1">
                  <c:v>Nunca ouvi falar</c:v>
                </c:pt>
                <c:pt idx="2">
                  <c:v>Sim, conheço bem</c:v>
                </c:pt>
              </c:strCache>
            </c:strRef>
          </c:cat>
          <c:val>
            <c:numRef>
              <c:f>Planilha3!$B$4:$B$6</c:f>
              <c:numCache>
                <c:formatCode>0.00%</c:formatCode>
                <c:ptCount val="3"/>
                <c:pt idx="0">
                  <c:v>0.1388888888888889</c:v>
                </c:pt>
                <c:pt idx="1">
                  <c:v>0.80555555555555558</c:v>
                </c:pt>
                <c:pt idx="2">
                  <c:v>5.5555555555555552E-2</c:v>
                </c:pt>
              </c:numCache>
            </c:numRef>
          </c:val>
          <c:extLst>
            <c:ext xmlns:c16="http://schemas.microsoft.com/office/drawing/2014/chart" uri="{C3380CC4-5D6E-409C-BE32-E72D297353CC}">
              <c16:uniqueId val="{00000000-65A4-42E7-8E19-E70EE7B33781}"/>
            </c:ext>
          </c:extLst>
        </c:ser>
        <c:dLbls>
          <c:dLblPos val="inEnd"/>
          <c:showLegendKey val="0"/>
          <c:showVal val="1"/>
          <c:showCatName val="0"/>
          <c:showSerName val="0"/>
          <c:showPercent val="0"/>
          <c:showBubbleSize val="0"/>
        </c:dLbls>
        <c:gapWidth val="65"/>
        <c:axId val="280686976"/>
        <c:axId val="280690048"/>
      </c:barChart>
      <c:catAx>
        <c:axId val="2806869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80690048"/>
        <c:crosses val="autoZero"/>
        <c:auto val="1"/>
        <c:lblAlgn val="ctr"/>
        <c:lblOffset val="100"/>
        <c:noMultiLvlLbl val="0"/>
      </c:catAx>
      <c:valAx>
        <c:axId val="2806900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28068697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outerShdw blurRad="50800" dist="38100" dir="2700000" algn="tl" rotWithShape="0">
        <a:prstClr val="black">
          <a:alpha val="40000"/>
        </a:prstClr>
      </a:outerShdw>
    </a:effectLst>
    <a:scene3d>
      <a:camera prst="orthographicFront"/>
      <a:lightRig rig="flood" dir="t"/>
    </a:scene3d>
    <a:sp3d prstMaterial="dkEdge">
      <a:bevelT prst="angle"/>
      <a:bevelB prst="angle"/>
    </a:sp3d>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[Questionário – Planejamento Financeiro e Superendividamento  (respostas).xlsx]Planilha10!Tabela dinâmica34</c:name>
    <c:fmtId val="-1"/>
  </c:pivotSource>
  <c:chart>
    <c:title>
      <c:tx>
        <c:rich>
          <a:bodyPr rot="0" spcFirstLastPara="1" vertOverflow="ellipsis" vert="horz" wrap="square" anchor="ctr" anchorCtr="1"/>
          <a:lstStyle/>
          <a:p>
            <a:pPr algn="ctr" rtl="0">
              <a:defRPr lang="pt-BR" sz="1200" b="1" i="0" u="none" strike="noStrike" kern="1200" baseline="0">
                <a:solidFill>
                  <a:srgbClr val="000000">
                    <a:lumMod val="75000"/>
                    <a:lumOff val="25000"/>
                  </a:srgbClr>
                </a:solidFill>
                <a:effectLst/>
                <a:latin typeface="+mn-lt"/>
                <a:ea typeface="+mn-ea"/>
                <a:cs typeface="+mn-cs"/>
              </a:defRPr>
            </a:pPr>
            <a:r>
              <a:rPr lang="pt-BR" sz="1200" b="1" i="0" u="none" strike="noStrike" kern="1200" baseline="0">
                <a:solidFill>
                  <a:srgbClr val="000000">
                    <a:lumMod val="75000"/>
                    <a:lumOff val="25000"/>
                  </a:srgbClr>
                </a:solidFill>
                <a:effectLst/>
                <a:latin typeface="+mn-lt"/>
                <a:ea typeface="+mn-ea"/>
                <a:cs typeface="+mn-cs"/>
              </a:rPr>
              <a:t>Você teria a quem recorrer caso se encontre em uma situação de superendividamento?</a:t>
            </a:r>
          </a:p>
        </c:rich>
      </c:tx>
      <c:overlay val="0"/>
      <c:spPr>
        <a:noFill/>
        <a:ln>
          <a:noFill/>
        </a:ln>
        <a:effectLst/>
      </c:spPr>
    </c:title>
    <c:autoTitleDeleted val="0"/>
    <c:pivotFmts>
      <c:pivotFmt>
        <c:idx val="0"/>
        <c:spPr>
          <a:solidFill>
            <a:schemeClr val="accent1">
              <a:alpha val="85000"/>
            </a:schemeClr>
          </a:solidFill>
          <a:ln w="9525" cap="flat" cmpd="sng" algn="ctr">
            <a:solidFill>
              <a:schemeClr val="lt1">
                <a:alpha val="50000"/>
              </a:schemeClr>
            </a:solidFill>
            <a:round/>
          </a:ln>
          <a:effectLst/>
        </c:spPr>
        <c:marker>
          <c:symbol val="circle"/>
          <c:size val="6"/>
          <c:spPr>
            <a:solidFill>
              <a:schemeClr val="accent1">
                <a:alpha val="85000"/>
              </a:schemeClr>
            </a:solidFill>
            <a:ln>
              <a:no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alpha val="85000"/>
            </a:schemeClr>
          </a:solidFill>
          <a:ln w="9525" cap="flat" cmpd="sng" algn="ctr">
            <a:solidFill>
              <a:schemeClr val="lt1">
                <a:alpha val="50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alpha val="85000"/>
            </a:schemeClr>
          </a:solidFill>
          <a:ln w="9525" cap="flat" cmpd="sng" algn="ctr">
            <a:solidFill>
              <a:schemeClr val="lt1">
                <a:alpha val="50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alpha val="85000"/>
            </a:schemeClr>
          </a:solidFill>
          <a:ln w="9525" cap="flat" cmpd="sng" algn="ctr">
            <a:solidFill>
              <a:schemeClr val="lt1">
                <a:alpha val="50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alpha val="85000"/>
            </a:schemeClr>
          </a:solidFill>
          <a:ln w="9525" cap="flat" cmpd="sng" algn="ctr">
            <a:solidFill>
              <a:schemeClr val="lt1">
                <a:alpha val="50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Planilha10!$B$3</c:f>
              <c:strCache>
                <c:ptCount val="1"/>
                <c:pt idx="0">
                  <c:v>Total</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Planilha10!$A$4:$A$6</c:f>
              <c:strCache>
                <c:ptCount val="3"/>
                <c:pt idx="0">
                  <c:v>Não</c:v>
                </c:pt>
                <c:pt idx="1">
                  <c:v>Sim</c:v>
                </c:pt>
                <c:pt idx="2">
                  <c:v>Tenho Dúvidas</c:v>
                </c:pt>
              </c:strCache>
            </c:strRef>
          </c:cat>
          <c:val>
            <c:numRef>
              <c:f>Planilha10!$B$4:$B$6</c:f>
              <c:numCache>
                <c:formatCode>0.00%</c:formatCode>
                <c:ptCount val="3"/>
                <c:pt idx="0">
                  <c:v>0.33333333333333331</c:v>
                </c:pt>
                <c:pt idx="1">
                  <c:v>0.47222222222222221</c:v>
                </c:pt>
                <c:pt idx="2">
                  <c:v>0.19444444444444445</c:v>
                </c:pt>
              </c:numCache>
            </c:numRef>
          </c:val>
          <c:extLst>
            <c:ext xmlns:c16="http://schemas.microsoft.com/office/drawing/2014/chart" uri="{C3380CC4-5D6E-409C-BE32-E72D297353CC}">
              <c16:uniqueId val="{00000000-1769-471C-9C4A-8C0719B56F6D}"/>
            </c:ext>
          </c:extLst>
        </c:ser>
        <c:dLbls>
          <c:dLblPos val="inEnd"/>
          <c:showLegendKey val="0"/>
          <c:showVal val="1"/>
          <c:showCatName val="0"/>
          <c:showSerName val="0"/>
          <c:showPercent val="0"/>
          <c:showBubbleSize val="0"/>
        </c:dLbls>
        <c:gapWidth val="65"/>
        <c:axId val="314280192"/>
        <c:axId val="314538624"/>
      </c:barChart>
      <c:catAx>
        <c:axId val="3142801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14538624"/>
        <c:crosses val="autoZero"/>
        <c:auto val="1"/>
        <c:lblAlgn val="ctr"/>
        <c:lblOffset val="100"/>
        <c:noMultiLvlLbl val="0"/>
      </c:catAx>
      <c:valAx>
        <c:axId val="3145386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31428019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scene3d>
      <a:camera prst="orthographicFront"/>
      <a:lightRig rig="flood" dir="t"/>
    </a:scene3d>
    <a:sp3d prstMaterial="dkEdge">
      <a:bevelT/>
      <a:bevelB prst="angle"/>
    </a:sp3d>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100"/>
              <a:t> Você considera importante que haja mais educação financeira nas escolas e nas mídias para prevenir o superendividamento?</a:t>
            </a:r>
          </a:p>
        </c:rich>
      </c:tx>
      <c:overlay val="0"/>
    </c:title>
    <c:autoTitleDeleted val="0"/>
    <c:pivotFmts>
      <c:pivotFmt>
        <c:idx val="0"/>
        <c:spPr>
          <a:solidFill>
            <a:schemeClr val="accent1"/>
          </a:solidFill>
          <a:ln>
            <a:noFill/>
          </a:ln>
          <a:effectLst/>
        </c:spPr>
        <c:marker>
          <c:spPr>
            <a:solidFill>
              <a:schemeClr val="accent1">
                <a:alpha val="85000"/>
              </a:schemeClr>
            </a:solidFill>
            <a:ln>
              <a:noFill/>
            </a:ln>
            <a:effectLst/>
          </c:spPr>
        </c:marker>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pivotFmt>
      <c:pivotFmt>
        <c:idx val="7"/>
        <c:spPr>
          <a:solidFill>
            <a:schemeClr val="accent1"/>
          </a:solidFill>
          <a:ln>
            <a:noFill/>
          </a:ln>
          <a:effectLst/>
        </c:spPr>
      </c:pivotFmt>
    </c:pivotFmts>
    <c:view3D>
      <c:rotX val="50"/>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Total</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7A7-4F5E-8756-24512EE2297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7A7-4F5E-8756-24512EE22971}"/>
              </c:ext>
            </c:extLst>
          </c:dPt>
          <c:dLbls>
            <c:dLbl>
              <c:idx val="0"/>
              <c:tx>
                <c:rich>
                  <a:bodyPr/>
                  <a:lstStyle/>
                  <a:p>
                    <a:fld id="{F36609DB-9093-49A9-9786-D7880AD6C370}" type="PERCENTAGE">
                      <a:rPr lang="en-US"/>
                      <a:pPr/>
                      <a:t>[PORCENTAGEM]</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7A7-4F5E-8756-24512EE22971}"/>
                </c:ext>
              </c:extLst>
            </c:dLbl>
            <c:dLbl>
              <c:idx val="1"/>
              <c:tx>
                <c:rich>
                  <a:bodyPr/>
                  <a:lstStyle/>
                  <a:p>
                    <a:fld id="{3DB05ADE-EE3E-4AF3-B3F4-0EA50B973E2A}" type="PERCENTAGE">
                      <a:rPr lang="en-US"/>
                      <a:pPr/>
                      <a:t>[PORCENTAGEM]</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7A7-4F5E-8756-24512EE22971}"/>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Lit>
              <c:ptCount val="2"/>
              <c:pt idx="0">
                <c:v>Não vejo como prioridade</c:v>
              </c:pt>
              <c:pt idx="1">
                <c:v>Sim, é fundamental</c:v>
              </c:pt>
            </c:strLit>
          </c:cat>
          <c:val>
            <c:numLit>
              <c:formatCode>General</c:formatCode>
              <c:ptCount val="2"/>
              <c:pt idx="0">
                <c:v>2.7777777777777776E-2</c:v>
              </c:pt>
              <c:pt idx="1">
                <c:v>0.97222222222222221</c:v>
              </c:pt>
            </c:numLit>
          </c:val>
          <c:extLst>
            <c:ext xmlns:c16="http://schemas.microsoft.com/office/drawing/2014/chart" uri="{C3380CC4-5D6E-409C-BE32-E72D297353CC}">
              <c16:uniqueId val="{00000004-27A7-4F5E-8756-24512EE22971}"/>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outerShdw blurRad="50800" dist="38100" dir="2700000" algn="tl" rotWithShape="0">
        <a:prstClr val="black">
          <a:alpha val="40000"/>
        </a:prstClr>
      </a:outerShdw>
    </a:effectLst>
    <a:scene3d>
      <a:camera prst="orthographicFront"/>
      <a:lightRig rig="flood" dir="t"/>
    </a:scene3d>
    <a:sp3d prstMaterial="dkEdge">
      <a:bevelT/>
      <a:bevelB/>
    </a:sp3d>
  </c:spPr>
  <c:txPr>
    <a:bodyPr/>
    <a:lstStyle/>
    <a:p>
      <a:pPr>
        <a:defRPr/>
      </a:pPr>
      <a:endParaRPr lang="en-US"/>
    </a:p>
  </c:txPr>
  <c:externalData r:id="rId1">
    <c:autoUpdate val="0"/>
  </c:externalData>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4B300-82D7-4A4E-A404-C6B158970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4380</Words>
  <Characters>24970</Characters>
  <Application>Microsoft Office Word</Application>
  <DocSecurity>0</DocSecurity>
  <Lines>208</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Usuário</cp:lastModifiedBy>
  <cp:revision>2</cp:revision>
  <dcterms:created xsi:type="dcterms:W3CDTF">2025-11-21T13:45:00Z</dcterms:created>
  <dcterms:modified xsi:type="dcterms:W3CDTF">2025-11-21T13:45:00Z</dcterms:modified>
</cp:coreProperties>
</file>