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13B49" w14:textId="77777777" w:rsidR="008A7972" w:rsidRPr="00086464" w:rsidRDefault="008A7972" w:rsidP="008A7972">
      <w:pPr>
        <w:tabs>
          <w:tab w:val="left" w:pos="3686"/>
          <w:tab w:val="left" w:pos="4253"/>
          <w:tab w:val="left" w:pos="4536"/>
        </w:tabs>
        <w:spacing w:after="0" w:line="240" w:lineRule="auto"/>
        <w:jc w:val="center"/>
        <w:rPr>
          <w:rFonts w:ascii="Times New Roman" w:eastAsia="Arial" w:hAnsi="Times New Roman" w:cs="Times New Roman"/>
          <w:b/>
          <w:sz w:val="24"/>
          <w:szCs w:val="24"/>
        </w:rPr>
      </w:pPr>
      <w:r w:rsidRPr="00086464">
        <w:rPr>
          <w:rFonts w:ascii="Times New Roman" w:eastAsia="Arial" w:hAnsi="Times New Roman" w:cs="Times New Roman"/>
          <w:b/>
          <w:sz w:val="24"/>
          <w:szCs w:val="24"/>
        </w:rPr>
        <w:t>FAMEESP </w:t>
      </w:r>
    </w:p>
    <w:p w14:paraId="3D8C22CE" w14:textId="77777777" w:rsidR="008A7972" w:rsidRPr="00086464" w:rsidRDefault="008A7972" w:rsidP="008A7972">
      <w:pPr>
        <w:tabs>
          <w:tab w:val="left" w:pos="3686"/>
          <w:tab w:val="left" w:pos="4253"/>
          <w:tab w:val="left" w:pos="4536"/>
        </w:tabs>
        <w:spacing w:after="0" w:line="240" w:lineRule="auto"/>
        <w:jc w:val="center"/>
        <w:rPr>
          <w:rFonts w:ascii="Times New Roman" w:eastAsia="Arial" w:hAnsi="Times New Roman" w:cs="Times New Roman"/>
          <w:b/>
          <w:sz w:val="24"/>
          <w:szCs w:val="24"/>
        </w:rPr>
      </w:pPr>
      <w:r w:rsidRPr="00086464">
        <w:rPr>
          <w:rFonts w:ascii="Times New Roman" w:eastAsia="Arial" w:hAnsi="Times New Roman" w:cs="Times New Roman"/>
          <w:b/>
          <w:sz w:val="24"/>
          <w:szCs w:val="24"/>
        </w:rPr>
        <w:t>FACULDADE METROPOLITANA DO ESTADO DE SÃO PAULO</w:t>
      </w:r>
    </w:p>
    <w:p w14:paraId="44201705"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1E200105"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4CD3ED5D"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7945ECBC"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0A97F457"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028573D1"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54B8D3F8"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51A8B008"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4F75F2B4"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7AECCE63" w14:textId="77777777" w:rsidR="008A7972"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69B6947D"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b/>
          <w:i/>
          <w:sz w:val="24"/>
          <w:szCs w:val="24"/>
        </w:rPr>
      </w:pPr>
    </w:p>
    <w:p w14:paraId="1C6B683D" w14:textId="77777777" w:rsidR="008A7972" w:rsidRPr="00596016"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r w:rsidRPr="00596016">
        <w:rPr>
          <w:rFonts w:ascii="Times New Roman" w:eastAsia="Arial" w:hAnsi="Times New Roman" w:cs="Times New Roman"/>
          <w:sz w:val="24"/>
          <w:szCs w:val="24"/>
        </w:rPr>
        <w:t>RAFAEL ALVES PASSARELI JÚNIOR</w:t>
      </w:r>
    </w:p>
    <w:p w14:paraId="5F8AA40E"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64C49A41"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655EA267"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7A892DBE"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7BACDA8A"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3148DE8A"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538E1818"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0D3F20E5"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49DDB24E"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590E2E41"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10115E3D" w14:textId="77777777" w:rsidR="008A7972" w:rsidRPr="00034824" w:rsidRDefault="008A7972" w:rsidP="008A7972">
      <w:pPr>
        <w:tabs>
          <w:tab w:val="left" w:pos="3686"/>
          <w:tab w:val="left" w:pos="4253"/>
          <w:tab w:val="left" w:pos="4536"/>
        </w:tabs>
        <w:spacing w:after="0" w:line="240" w:lineRule="auto"/>
        <w:jc w:val="center"/>
        <w:rPr>
          <w:rFonts w:ascii="Times New Roman" w:eastAsia="Arial" w:hAnsi="Times New Roman" w:cs="Times New Roman"/>
          <w:sz w:val="24"/>
          <w:szCs w:val="24"/>
        </w:rPr>
      </w:pPr>
    </w:p>
    <w:p w14:paraId="05590FD9" w14:textId="77777777" w:rsidR="008A7972" w:rsidRPr="00034824" w:rsidRDefault="008A7972" w:rsidP="008A7972">
      <w:pPr>
        <w:spacing w:after="0" w:line="240" w:lineRule="auto"/>
        <w:jc w:val="center"/>
        <w:rPr>
          <w:rFonts w:ascii="Times New Roman" w:eastAsia="Arial" w:hAnsi="Times New Roman" w:cs="Times New Roman"/>
          <w:b/>
          <w:sz w:val="28"/>
          <w:szCs w:val="28"/>
        </w:rPr>
      </w:pPr>
      <w:r w:rsidRPr="00034824">
        <w:rPr>
          <w:rFonts w:ascii="Times New Roman" w:eastAsia="Arial" w:hAnsi="Times New Roman" w:cs="Times New Roman"/>
          <w:b/>
          <w:bCs/>
          <w:sz w:val="28"/>
          <w:szCs w:val="28"/>
        </w:rPr>
        <w:t>Integração entre o Sistema Financeiro Nacional (SFN) e o Sistema de Pagamentos Brasileiro (SPB): Estruturas, Sinergias e Impactos na Economia Brasileira</w:t>
      </w:r>
    </w:p>
    <w:p w14:paraId="44C1A876"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54688C49"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49DAA90E"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64946470"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2BDDFB2C"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7DF9A2B1"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6CE36D17"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6BDCF0E2"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1611ECBD"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48B3D205"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358CEEF8"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7AB8822C"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1366C946"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69443C7F"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79D1CB92"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007B8E6A" w14:textId="77777777" w:rsidR="008A7972" w:rsidRPr="00034824" w:rsidRDefault="008A7972" w:rsidP="008A7972">
      <w:pPr>
        <w:spacing w:after="0" w:line="240" w:lineRule="auto"/>
        <w:jc w:val="center"/>
        <w:rPr>
          <w:rFonts w:ascii="Times New Roman" w:eastAsia="Arial" w:hAnsi="Times New Roman" w:cs="Times New Roman"/>
          <w:b/>
          <w:sz w:val="28"/>
          <w:szCs w:val="28"/>
        </w:rPr>
      </w:pPr>
    </w:p>
    <w:p w14:paraId="1F131B0D" w14:textId="77777777" w:rsidR="008A7972" w:rsidRPr="00034824" w:rsidRDefault="008A7972" w:rsidP="008A7972">
      <w:pPr>
        <w:spacing w:after="0" w:line="240" w:lineRule="auto"/>
        <w:jc w:val="center"/>
        <w:rPr>
          <w:rFonts w:ascii="Times New Roman" w:eastAsia="Arial" w:hAnsi="Times New Roman" w:cs="Times New Roman"/>
          <w:b/>
          <w:sz w:val="24"/>
          <w:szCs w:val="24"/>
        </w:rPr>
      </w:pPr>
    </w:p>
    <w:p w14:paraId="3B019173" w14:textId="77777777" w:rsidR="008A7972" w:rsidRPr="00034824" w:rsidRDefault="008A7972" w:rsidP="008A7972">
      <w:pPr>
        <w:spacing w:after="0" w:line="240" w:lineRule="auto"/>
        <w:jc w:val="center"/>
        <w:rPr>
          <w:rFonts w:ascii="Times New Roman" w:eastAsia="Arial" w:hAnsi="Times New Roman" w:cs="Times New Roman"/>
          <w:sz w:val="24"/>
          <w:szCs w:val="24"/>
        </w:rPr>
      </w:pPr>
      <w:r w:rsidRPr="00034824">
        <w:rPr>
          <w:rFonts w:ascii="Times New Roman" w:eastAsia="Arial" w:hAnsi="Times New Roman" w:cs="Times New Roman"/>
          <w:sz w:val="24"/>
          <w:szCs w:val="24"/>
        </w:rPr>
        <w:t>RIBEIRÃO PRETO</w:t>
      </w:r>
    </w:p>
    <w:p w14:paraId="4635B1F2" w14:textId="77777777" w:rsidR="008A7972" w:rsidRPr="00034824" w:rsidRDefault="008A7972" w:rsidP="008A7972">
      <w:pPr>
        <w:spacing w:after="0" w:line="240" w:lineRule="auto"/>
        <w:jc w:val="center"/>
        <w:rPr>
          <w:rFonts w:ascii="Times New Roman" w:eastAsia="Arial" w:hAnsi="Times New Roman" w:cs="Times New Roman"/>
          <w:sz w:val="24"/>
          <w:szCs w:val="24"/>
        </w:rPr>
      </w:pPr>
      <w:r w:rsidRPr="00034824">
        <w:rPr>
          <w:rFonts w:ascii="Times New Roman" w:eastAsia="Arial" w:hAnsi="Times New Roman" w:cs="Times New Roman"/>
          <w:sz w:val="24"/>
          <w:szCs w:val="24"/>
        </w:rPr>
        <w:t>2025</w:t>
      </w:r>
    </w:p>
    <w:p w14:paraId="14F865E3" w14:textId="77777777" w:rsidR="008A7972" w:rsidRPr="00034824" w:rsidRDefault="008A7972" w:rsidP="008A7972">
      <w:pPr>
        <w:jc w:val="center"/>
        <w:rPr>
          <w:rFonts w:ascii="Times New Roman" w:eastAsia="Arial" w:hAnsi="Times New Roman" w:cs="Times New Roman"/>
        </w:rPr>
      </w:pPr>
      <w:r w:rsidRPr="00034824">
        <w:rPr>
          <w:rFonts w:ascii="Times New Roman" w:hAnsi="Times New Roman" w:cs="Times New Roman"/>
        </w:rPr>
        <w:br w:type="page"/>
      </w:r>
      <w:r w:rsidRPr="00034824">
        <w:rPr>
          <w:rFonts w:ascii="Times New Roman" w:eastAsia="Arial" w:hAnsi="Times New Roman" w:cs="Times New Roman"/>
        </w:rPr>
        <w:lastRenderedPageBreak/>
        <w:t>RAFAEL ALVES PASSARELI JÚNIOR</w:t>
      </w:r>
    </w:p>
    <w:p w14:paraId="18696832" w14:textId="77777777" w:rsidR="008A7972" w:rsidRPr="00034824" w:rsidRDefault="008A7972" w:rsidP="008A7972">
      <w:pPr>
        <w:jc w:val="center"/>
        <w:rPr>
          <w:rFonts w:ascii="Times New Roman" w:eastAsia="Arial" w:hAnsi="Times New Roman" w:cs="Times New Roman"/>
          <w:sz w:val="24"/>
          <w:szCs w:val="24"/>
        </w:rPr>
      </w:pPr>
    </w:p>
    <w:p w14:paraId="1ECEF885" w14:textId="77777777" w:rsidR="008A7972" w:rsidRPr="00034824" w:rsidRDefault="008A7972" w:rsidP="008A7972">
      <w:pPr>
        <w:jc w:val="center"/>
        <w:rPr>
          <w:rFonts w:ascii="Times New Roman" w:eastAsia="Arial" w:hAnsi="Times New Roman" w:cs="Times New Roman"/>
          <w:sz w:val="24"/>
          <w:szCs w:val="24"/>
        </w:rPr>
      </w:pPr>
    </w:p>
    <w:p w14:paraId="0520BC32" w14:textId="77777777" w:rsidR="008A7972" w:rsidRPr="00034824" w:rsidRDefault="008A7972" w:rsidP="008A7972">
      <w:pPr>
        <w:jc w:val="center"/>
        <w:rPr>
          <w:rFonts w:ascii="Times New Roman" w:eastAsia="Arial" w:hAnsi="Times New Roman" w:cs="Times New Roman"/>
          <w:sz w:val="24"/>
          <w:szCs w:val="24"/>
        </w:rPr>
      </w:pPr>
    </w:p>
    <w:p w14:paraId="53E06E47" w14:textId="77777777" w:rsidR="008A7972" w:rsidRPr="00034824" w:rsidRDefault="008A7972" w:rsidP="008A7972">
      <w:pPr>
        <w:jc w:val="center"/>
        <w:rPr>
          <w:rFonts w:ascii="Times New Roman" w:eastAsia="Arial" w:hAnsi="Times New Roman" w:cs="Times New Roman"/>
          <w:sz w:val="24"/>
          <w:szCs w:val="24"/>
        </w:rPr>
      </w:pPr>
    </w:p>
    <w:p w14:paraId="63F388C3" w14:textId="77777777" w:rsidR="008A7972" w:rsidRPr="00034824" w:rsidRDefault="008A7972" w:rsidP="008A7972">
      <w:pPr>
        <w:jc w:val="center"/>
        <w:rPr>
          <w:rFonts w:ascii="Times New Roman" w:eastAsia="Arial" w:hAnsi="Times New Roman" w:cs="Times New Roman"/>
          <w:sz w:val="24"/>
          <w:szCs w:val="24"/>
        </w:rPr>
      </w:pPr>
    </w:p>
    <w:p w14:paraId="10D27B0F" w14:textId="77777777" w:rsidR="008A7972" w:rsidRPr="00034824" w:rsidRDefault="008A7972" w:rsidP="008A7972">
      <w:pPr>
        <w:jc w:val="center"/>
        <w:rPr>
          <w:rFonts w:ascii="Times New Roman" w:eastAsia="Arial" w:hAnsi="Times New Roman" w:cs="Times New Roman"/>
          <w:sz w:val="24"/>
          <w:szCs w:val="24"/>
        </w:rPr>
      </w:pPr>
    </w:p>
    <w:p w14:paraId="75C7963C" w14:textId="77777777" w:rsidR="008A7972" w:rsidRPr="00034824" w:rsidRDefault="008A7972" w:rsidP="008A7972">
      <w:pPr>
        <w:jc w:val="center"/>
        <w:rPr>
          <w:rFonts w:ascii="Times New Roman" w:eastAsia="Arial" w:hAnsi="Times New Roman" w:cs="Times New Roman"/>
          <w:sz w:val="24"/>
          <w:szCs w:val="24"/>
        </w:rPr>
      </w:pPr>
    </w:p>
    <w:p w14:paraId="04DB66F3" w14:textId="77777777" w:rsidR="008A7972" w:rsidRPr="00034824" w:rsidRDefault="008A7972" w:rsidP="008A7972">
      <w:pPr>
        <w:jc w:val="center"/>
        <w:rPr>
          <w:rFonts w:ascii="Times New Roman" w:eastAsia="Arial" w:hAnsi="Times New Roman" w:cs="Times New Roman"/>
          <w:sz w:val="24"/>
          <w:szCs w:val="24"/>
        </w:rPr>
      </w:pPr>
    </w:p>
    <w:p w14:paraId="70092229" w14:textId="77777777" w:rsidR="008A7972" w:rsidRPr="00034824" w:rsidRDefault="008A7972" w:rsidP="008A7972">
      <w:pPr>
        <w:jc w:val="center"/>
        <w:rPr>
          <w:rFonts w:ascii="Times New Roman" w:eastAsia="Arial" w:hAnsi="Times New Roman" w:cs="Times New Roman"/>
        </w:rPr>
      </w:pPr>
    </w:p>
    <w:p w14:paraId="29706D57" w14:textId="77777777" w:rsidR="008A7972" w:rsidRPr="00873840" w:rsidRDefault="008A7972" w:rsidP="008A7972">
      <w:pPr>
        <w:jc w:val="center"/>
        <w:rPr>
          <w:rFonts w:ascii="Times New Roman" w:eastAsia="Arial" w:hAnsi="Times New Roman" w:cs="Times New Roman"/>
          <w:sz w:val="28"/>
          <w:szCs w:val="28"/>
        </w:rPr>
      </w:pPr>
      <w:r w:rsidRPr="00873840">
        <w:rPr>
          <w:rFonts w:ascii="Times New Roman" w:eastAsia="Arial" w:hAnsi="Times New Roman" w:cs="Times New Roman"/>
          <w:b/>
          <w:bCs/>
          <w:sz w:val="28"/>
          <w:szCs w:val="28"/>
        </w:rPr>
        <w:t>Integração entre o Sistema Financeiro Nacional (SFN) e o Sistema de Pagamentos Brasileiro (SPB): Estruturas, Sinergias e Impactos na Economia Brasileira</w:t>
      </w:r>
    </w:p>
    <w:p w14:paraId="591F728E" w14:textId="77777777" w:rsidR="008A7972" w:rsidRPr="00034824" w:rsidRDefault="008A7972" w:rsidP="008A7972">
      <w:pPr>
        <w:rPr>
          <w:rFonts w:ascii="Times New Roman" w:eastAsia="Arial" w:hAnsi="Times New Roman" w:cs="Times New Roman"/>
        </w:rPr>
      </w:pPr>
    </w:p>
    <w:p w14:paraId="267A8429" w14:textId="77777777" w:rsidR="008A7972" w:rsidRPr="00034824" w:rsidRDefault="008A7972" w:rsidP="008A7972">
      <w:pPr>
        <w:tabs>
          <w:tab w:val="left" w:pos="4253"/>
        </w:tabs>
        <w:rPr>
          <w:rFonts w:ascii="Times New Roman" w:eastAsia="Arial" w:hAnsi="Times New Roman" w:cs="Times New Roman"/>
        </w:rPr>
      </w:pPr>
    </w:p>
    <w:p w14:paraId="452CD2D0" w14:textId="77777777" w:rsidR="008A7972" w:rsidRPr="00034824" w:rsidRDefault="008A7972" w:rsidP="008A7972">
      <w:pPr>
        <w:tabs>
          <w:tab w:val="left" w:pos="4253"/>
        </w:tabs>
        <w:rPr>
          <w:rFonts w:ascii="Times New Roman" w:eastAsia="Arial" w:hAnsi="Times New Roman" w:cs="Times New Roman"/>
        </w:rPr>
      </w:pPr>
    </w:p>
    <w:p w14:paraId="63A05F0F" w14:textId="77777777" w:rsidR="008A7972" w:rsidRPr="00034824" w:rsidRDefault="008A7972" w:rsidP="008A7972">
      <w:pPr>
        <w:tabs>
          <w:tab w:val="left" w:pos="4253"/>
        </w:tabs>
        <w:rPr>
          <w:rFonts w:ascii="Times New Roman" w:eastAsia="Arial" w:hAnsi="Times New Roman" w:cs="Times New Roman"/>
        </w:rPr>
      </w:pPr>
    </w:p>
    <w:p w14:paraId="1A6BB910" w14:textId="77777777" w:rsidR="008A7972" w:rsidRPr="00034824" w:rsidRDefault="008A7972" w:rsidP="008A7972">
      <w:pPr>
        <w:rPr>
          <w:rFonts w:ascii="Times New Roman" w:eastAsia="Arial" w:hAnsi="Times New Roman" w:cs="Times New Roman"/>
        </w:rPr>
      </w:pPr>
    </w:p>
    <w:p w14:paraId="31A762E5" w14:textId="77777777" w:rsidR="008A7972" w:rsidRPr="00034824" w:rsidRDefault="008A7972" w:rsidP="008A7972">
      <w:pPr>
        <w:ind w:left="4253"/>
        <w:jc w:val="both"/>
        <w:rPr>
          <w:rFonts w:ascii="Times New Roman" w:eastAsia="Arial" w:hAnsi="Times New Roman" w:cs="Times New Roman"/>
          <w:sz w:val="24"/>
          <w:szCs w:val="24"/>
        </w:rPr>
      </w:pPr>
      <w:r w:rsidRPr="00034824">
        <w:rPr>
          <w:rFonts w:ascii="Times New Roman" w:eastAsia="Arial" w:hAnsi="Times New Roman" w:cs="Times New Roman"/>
          <w:sz w:val="24"/>
          <w:szCs w:val="24"/>
        </w:rPr>
        <w:t>Trabalho de Conclusão de Curso apresentado à Faculdade Metropolitana do Estado de São Paulo para a obtenção de bacharel em Administração.</w:t>
      </w:r>
    </w:p>
    <w:p w14:paraId="7D89BAFD" w14:textId="04727239" w:rsidR="008A7972" w:rsidRPr="00034824" w:rsidRDefault="008A7972" w:rsidP="008A7972">
      <w:pPr>
        <w:ind w:left="4253"/>
        <w:jc w:val="both"/>
        <w:rPr>
          <w:rFonts w:ascii="Times New Roman" w:eastAsia="Arial" w:hAnsi="Times New Roman" w:cs="Times New Roman"/>
          <w:sz w:val="24"/>
          <w:szCs w:val="24"/>
        </w:rPr>
      </w:pPr>
      <w:r w:rsidRPr="00034824">
        <w:rPr>
          <w:rFonts w:ascii="Times New Roman" w:eastAsia="Arial" w:hAnsi="Times New Roman" w:cs="Times New Roman"/>
          <w:sz w:val="24"/>
          <w:szCs w:val="24"/>
        </w:rPr>
        <w:t>Orientadora: Prof</w:t>
      </w:r>
      <w:r w:rsidR="00A6770C">
        <w:rPr>
          <w:rFonts w:ascii="Times New Roman" w:eastAsia="Arial" w:hAnsi="Times New Roman" w:cs="Times New Roman"/>
          <w:sz w:val="24"/>
          <w:szCs w:val="24"/>
        </w:rPr>
        <w:t>. Die</w:t>
      </w:r>
      <w:r w:rsidR="004230EC">
        <w:rPr>
          <w:rFonts w:ascii="Times New Roman" w:eastAsia="Arial" w:hAnsi="Times New Roman" w:cs="Times New Roman"/>
          <w:sz w:val="24"/>
          <w:szCs w:val="24"/>
        </w:rPr>
        <w:t xml:space="preserve">go Bevilacqua </w:t>
      </w:r>
      <w:proofErr w:type="spellStart"/>
      <w:r w:rsidR="004230EC">
        <w:rPr>
          <w:rFonts w:ascii="Times New Roman" w:eastAsia="Arial" w:hAnsi="Times New Roman" w:cs="Times New Roman"/>
          <w:sz w:val="24"/>
          <w:szCs w:val="24"/>
        </w:rPr>
        <w:t>Meli</w:t>
      </w:r>
      <w:proofErr w:type="spellEnd"/>
      <w:r w:rsidRPr="00034824">
        <w:rPr>
          <w:rFonts w:ascii="Times New Roman" w:eastAsia="Arial" w:hAnsi="Times New Roman" w:cs="Times New Roman"/>
          <w:sz w:val="24"/>
          <w:szCs w:val="24"/>
        </w:rPr>
        <w:t>.</w:t>
      </w:r>
    </w:p>
    <w:p w14:paraId="27D766E9" w14:textId="77777777" w:rsidR="008A7972" w:rsidRPr="00034824" w:rsidRDefault="008A7972" w:rsidP="008A7972">
      <w:pPr>
        <w:jc w:val="center"/>
        <w:rPr>
          <w:rFonts w:ascii="Times New Roman" w:eastAsia="Arial" w:hAnsi="Times New Roman" w:cs="Times New Roman"/>
        </w:rPr>
      </w:pPr>
    </w:p>
    <w:p w14:paraId="0D93BACF" w14:textId="77777777" w:rsidR="008A7972" w:rsidRPr="00034824" w:rsidRDefault="008A7972" w:rsidP="008A7972">
      <w:pPr>
        <w:jc w:val="center"/>
        <w:rPr>
          <w:rFonts w:ascii="Times New Roman" w:eastAsia="Arial" w:hAnsi="Times New Roman" w:cs="Times New Roman"/>
        </w:rPr>
      </w:pPr>
    </w:p>
    <w:p w14:paraId="77725995" w14:textId="77777777" w:rsidR="008A7972" w:rsidRPr="00034824" w:rsidRDefault="008A7972" w:rsidP="008A7972">
      <w:pPr>
        <w:jc w:val="center"/>
        <w:rPr>
          <w:rFonts w:ascii="Times New Roman" w:eastAsia="Arial" w:hAnsi="Times New Roman" w:cs="Times New Roman"/>
        </w:rPr>
      </w:pPr>
    </w:p>
    <w:p w14:paraId="78E3A6C8" w14:textId="77777777" w:rsidR="008A7972" w:rsidRPr="00034824" w:rsidRDefault="008A7972" w:rsidP="008A7972">
      <w:pPr>
        <w:jc w:val="center"/>
        <w:rPr>
          <w:rFonts w:ascii="Times New Roman" w:eastAsia="Arial" w:hAnsi="Times New Roman" w:cs="Times New Roman"/>
        </w:rPr>
      </w:pPr>
    </w:p>
    <w:p w14:paraId="50823806" w14:textId="77777777" w:rsidR="008A7972" w:rsidRPr="00034824" w:rsidRDefault="008A7972" w:rsidP="008A7972">
      <w:pPr>
        <w:jc w:val="center"/>
        <w:rPr>
          <w:rFonts w:ascii="Times New Roman" w:eastAsia="Arial" w:hAnsi="Times New Roman" w:cs="Times New Roman"/>
        </w:rPr>
      </w:pPr>
    </w:p>
    <w:p w14:paraId="2EAC1147" w14:textId="77777777" w:rsidR="008A7972" w:rsidRPr="00034824" w:rsidRDefault="008A7972" w:rsidP="008A7972">
      <w:pPr>
        <w:jc w:val="center"/>
        <w:rPr>
          <w:rFonts w:ascii="Times New Roman" w:eastAsia="Arial" w:hAnsi="Times New Roman" w:cs="Times New Roman"/>
        </w:rPr>
      </w:pPr>
    </w:p>
    <w:p w14:paraId="1A1F9521" w14:textId="77777777" w:rsidR="008A7972" w:rsidRPr="00034824" w:rsidRDefault="008A7972" w:rsidP="008A7972">
      <w:pPr>
        <w:jc w:val="center"/>
        <w:rPr>
          <w:rFonts w:ascii="Times New Roman" w:eastAsia="Arial" w:hAnsi="Times New Roman" w:cs="Times New Roman"/>
        </w:rPr>
      </w:pPr>
    </w:p>
    <w:p w14:paraId="48A8DFA4" w14:textId="77777777" w:rsidR="008A7972" w:rsidRPr="00034824" w:rsidRDefault="008A7972" w:rsidP="008A7972">
      <w:pPr>
        <w:rPr>
          <w:rFonts w:ascii="Times New Roman" w:eastAsia="Arial" w:hAnsi="Times New Roman" w:cs="Times New Roman"/>
        </w:rPr>
      </w:pPr>
    </w:p>
    <w:p w14:paraId="11986974" w14:textId="77777777" w:rsidR="008A7972" w:rsidRPr="00034824" w:rsidRDefault="008A7972" w:rsidP="008A7972">
      <w:pPr>
        <w:spacing w:after="0" w:line="240" w:lineRule="auto"/>
        <w:jc w:val="center"/>
        <w:rPr>
          <w:rFonts w:ascii="Times New Roman" w:eastAsia="Arial" w:hAnsi="Times New Roman" w:cs="Times New Roman"/>
          <w:sz w:val="24"/>
          <w:szCs w:val="24"/>
        </w:rPr>
      </w:pPr>
      <w:r w:rsidRPr="00034824">
        <w:rPr>
          <w:rFonts w:ascii="Times New Roman" w:eastAsia="Arial" w:hAnsi="Times New Roman" w:cs="Times New Roman"/>
          <w:sz w:val="24"/>
          <w:szCs w:val="24"/>
        </w:rPr>
        <w:t>RIBEIRÃO PRETO</w:t>
      </w:r>
    </w:p>
    <w:p w14:paraId="1F123693" w14:textId="77777777" w:rsidR="008A7972" w:rsidRDefault="008A7972" w:rsidP="008A7972">
      <w:pPr>
        <w:spacing w:after="0" w:line="240" w:lineRule="auto"/>
        <w:jc w:val="center"/>
        <w:rPr>
          <w:rFonts w:ascii="Times New Roman" w:eastAsia="Arial" w:hAnsi="Times New Roman" w:cs="Times New Roman"/>
          <w:sz w:val="24"/>
          <w:szCs w:val="24"/>
        </w:rPr>
      </w:pPr>
      <w:r w:rsidRPr="00034824">
        <w:rPr>
          <w:rFonts w:ascii="Times New Roman" w:eastAsia="Arial" w:hAnsi="Times New Roman" w:cs="Times New Roman"/>
          <w:sz w:val="24"/>
          <w:szCs w:val="24"/>
        </w:rPr>
        <w:t>2025</w:t>
      </w:r>
    </w:p>
    <w:p w14:paraId="18C4580E" w14:textId="77777777" w:rsidR="008A7972" w:rsidRPr="00034824" w:rsidRDefault="008A7972" w:rsidP="008A7972">
      <w:pPr>
        <w:spacing w:after="0" w:line="240" w:lineRule="auto"/>
        <w:jc w:val="center"/>
        <w:rPr>
          <w:rFonts w:ascii="Times New Roman" w:eastAsia="Arial" w:hAnsi="Times New Roman" w:cs="Times New Roman"/>
          <w:sz w:val="24"/>
          <w:szCs w:val="24"/>
        </w:rPr>
      </w:pPr>
    </w:p>
    <w:p w14:paraId="3F72E2D5" w14:textId="77777777" w:rsidR="008A7972" w:rsidRPr="00034824" w:rsidRDefault="008A7972" w:rsidP="008A7972">
      <w:pPr>
        <w:jc w:val="center"/>
        <w:rPr>
          <w:rFonts w:ascii="Times New Roman" w:eastAsia="Arial" w:hAnsi="Times New Roman" w:cs="Times New Roman"/>
        </w:rPr>
      </w:pPr>
      <w:r w:rsidRPr="00034824">
        <w:rPr>
          <w:rFonts w:ascii="Times New Roman" w:eastAsia="Arial" w:hAnsi="Times New Roman" w:cs="Times New Roman"/>
        </w:rPr>
        <w:lastRenderedPageBreak/>
        <w:t>RIBEIRÃO PRETO</w:t>
      </w:r>
    </w:p>
    <w:p w14:paraId="3574E5BD" w14:textId="77777777" w:rsidR="008A7972" w:rsidRPr="00034824" w:rsidRDefault="008A7972" w:rsidP="008A7972">
      <w:pPr>
        <w:jc w:val="center"/>
        <w:rPr>
          <w:rFonts w:ascii="Times New Roman" w:eastAsia="Arial" w:hAnsi="Times New Roman" w:cs="Times New Roman"/>
        </w:rPr>
      </w:pPr>
      <w:r w:rsidRPr="00034824">
        <w:rPr>
          <w:rFonts w:ascii="Times New Roman" w:eastAsia="Arial" w:hAnsi="Times New Roman" w:cs="Times New Roman"/>
        </w:rPr>
        <w:t>- 20</w:t>
      </w:r>
      <w:r>
        <w:rPr>
          <w:rFonts w:ascii="Times New Roman" w:eastAsia="Arial" w:hAnsi="Times New Roman" w:cs="Times New Roman"/>
        </w:rPr>
        <w:t>25</w:t>
      </w:r>
      <w:r w:rsidRPr="00034824">
        <w:rPr>
          <w:rFonts w:ascii="Times New Roman" w:eastAsia="Arial" w:hAnsi="Times New Roman" w:cs="Times New Roman"/>
        </w:rPr>
        <w:t xml:space="preserve"> -</w:t>
      </w:r>
    </w:p>
    <w:p w14:paraId="609E4DC3" w14:textId="77777777" w:rsidR="008A7972" w:rsidRPr="00034824" w:rsidRDefault="008A7972" w:rsidP="008A7972">
      <w:pPr>
        <w:jc w:val="center"/>
        <w:rPr>
          <w:rFonts w:ascii="Times New Roman" w:eastAsia="Arial" w:hAnsi="Times New Roman" w:cs="Times New Roman"/>
        </w:rPr>
      </w:pPr>
    </w:p>
    <w:p w14:paraId="341A2455" w14:textId="77777777" w:rsidR="008A7972" w:rsidRPr="00034824" w:rsidRDefault="008A7972" w:rsidP="008A7972">
      <w:pPr>
        <w:jc w:val="center"/>
        <w:rPr>
          <w:rFonts w:ascii="Times New Roman" w:eastAsia="Arial" w:hAnsi="Times New Roman" w:cs="Times New Roman"/>
        </w:rPr>
      </w:pPr>
    </w:p>
    <w:p w14:paraId="69F09955" w14:textId="77777777" w:rsidR="008A7972" w:rsidRPr="00034824" w:rsidRDefault="008A7972" w:rsidP="008A7972">
      <w:pPr>
        <w:jc w:val="center"/>
        <w:rPr>
          <w:rFonts w:ascii="Times New Roman" w:eastAsia="Arial" w:hAnsi="Times New Roman" w:cs="Times New Roman"/>
        </w:rPr>
      </w:pPr>
    </w:p>
    <w:p w14:paraId="4E374485" w14:textId="77777777" w:rsidR="008A7972" w:rsidRPr="00034824" w:rsidRDefault="008A7972" w:rsidP="008A7972">
      <w:pPr>
        <w:jc w:val="center"/>
        <w:rPr>
          <w:rFonts w:ascii="Times New Roman" w:eastAsia="Arial" w:hAnsi="Times New Roman" w:cs="Times New Roman"/>
        </w:rPr>
      </w:pPr>
    </w:p>
    <w:p w14:paraId="394C78B6" w14:textId="77777777" w:rsidR="008A7972" w:rsidRPr="00034824" w:rsidRDefault="008A7972" w:rsidP="008A7972">
      <w:pPr>
        <w:jc w:val="center"/>
        <w:rPr>
          <w:rFonts w:ascii="Times New Roman" w:eastAsia="Arial" w:hAnsi="Times New Roman" w:cs="Times New Roman"/>
        </w:rPr>
      </w:pPr>
    </w:p>
    <w:p w14:paraId="45BFA227" w14:textId="77777777" w:rsidR="008A7972" w:rsidRPr="00034824" w:rsidRDefault="008A7972" w:rsidP="008A7972">
      <w:pPr>
        <w:jc w:val="center"/>
        <w:rPr>
          <w:rFonts w:ascii="Times New Roman" w:eastAsia="Arial" w:hAnsi="Times New Roman" w:cs="Times New Roman"/>
        </w:rPr>
      </w:pPr>
      <w:r w:rsidRPr="00034824">
        <w:rPr>
          <w:rFonts w:ascii="Times New Roman" w:eastAsia="Arial" w:hAnsi="Times New Roman" w:cs="Times New Roman"/>
        </w:rPr>
        <w:t>AUTORIZO A REPRODUÇÃO E DIVULGAÇÃO TOTAL OU PARCIAL DESTE TRABALHO, POR QUALQUER MEIO CONVENCIONAL OU ELETRÔNICO, PARA FINS DE ESTUDO E PESQUISA, DESDE QUE CITADA A FONTE.</w:t>
      </w:r>
    </w:p>
    <w:p w14:paraId="63BC894F" w14:textId="77777777" w:rsidR="008A7972" w:rsidRPr="00034824" w:rsidRDefault="008A7972" w:rsidP="008A7972">
      <w:pPr>
        <w:jc w:val="center"/>
        <w:rPr>
          <w:rFonts w:ascii="Times New Roman" w:eastAsia="Arial" w:hAnsi="Times New Roman" w:cs="Times New Roman"/>
        </w:rPr>
      </w:pPr>
    </w:p>
    <w:p w14:paraId="52EC7F0E" w14:textId="77777777" w:rsidR="008A7972" w:rsidRPr="00034824" w:rsidRDefault="008A7972" w:rsidP="008A7972">
      <w:pPr>
        <w:jc w:val="center"/>
        <w:rPr>
          <w:rFonts w:ascii="Times New Roman" w:eastAsia="Arial" w:hAnsi="Times New Roman" w:cs="Times New Roman"/>
        </w:rPr>
      </w:pPr>
    </w:p>
    <w:p w14:paraId="55D31061" w14:textId="77777777" w:rsidR="008A7972" w:rsidRPr="00034824" w:rsidRDefault="008A7972" w:rsidP="008A7972">
      <w:pPr>
        <w:jc w:val="center"/>
        <w:rPr>
          <w:rFonts w:ascii="Times New Roman" w:eastAsia="Arial" w:hAnsi="Times New Roman" w:cs="Times New Roman"/>
        </w:rPr>
      </w:pPr>
    </w:p>
    <w:p w14:paraId="1D284058" w14:textId="77777777" w:rsidR="008A7972" w:rsidRPr="00034824" w:rsidRDefault="008A7972" w:rsidP="008A7972">
      <w:pPr>
        <w:jc w:val="center"/>
        <w:rPr>
          <w:rFonts w:ascii="Times New Roman" w:eastAsia="Arial" w:hAnsi="Times New Roman" w:cs="Times New Roman"/>
        </w:rPr>
      </w:pPr>
    </w:p>
    <w:p w14:paraId="2C39210C" w14:textId="77777777" w:rsidR="008A7972" w:rsidRPr="00034824" w:rsidRDefault="008A7972" w:rsidP="008A7972">
      <w:pPr>
        <w:jc w:val="center"/>
        <w:rPr>
          <w:rFonts w:ascii="Times New Roman" w:eastAsia="Arial" w:hAnsi="Times New Roman" w:cs="Times New Roman"/>
        </w:rPr>
      </w:pPr>
      <w:r w:rsidRPr="00034824">
        <w:rPr>
          <w:rFonts w:ascii="Times New Roman" w:hAnsi="Times New Roman" w:cs="Times New Roman"/>
          <w:noProof/>
        </w:rPr>
        <mc:AlternateContent>
          <mc:Choice Requires="wps">
            <w:drawing>
              <wp:anchor distT="0" distB="0" distL="0" distR="0" simplePos="0" relativeHeight="251659264" behindDoc="1" locked="0" layoutInCell="1" hidden="0" allowOverlap="1" wp14:anchorId="7F4219AE" wp14:editId="3BEADD48">
                <wp:simplePos x="0" y="0"/>
                <wp:positionH relativeFrom="margin">
                  <wp:posOffset>-70485</wp:posOffset>
                </wp:positionH>
                <wp:positionV relativeFrom="paragraph">
                  <wp:posOffset>168910</wp:posOffset>
                </wp:positionV>
                <wp:extent cx="5802957" cy="2590800"/>
                <wp:effectExtent l="0" t="0" r="26670" b="1905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2957" cy="2590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314771" id="Retângulo 2" o:spid="_x0000_s1026" style="position:absolute;margin-left:-5.55pt;margin-top:13.3pt;width:456.95pt;height:204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">
                <w10:wrap anchorx="margin"/>
              </v:rect>
            </w:pict>
          </mc:Fallback>
        </mc:AlternateContent>
      </w:r>
    </w:p>
    <w:p w14:paraId="26B5A23A" w14:textId="77777777" w:rsidR="008A7972" w:rsidRPr="00034824" w:rsidRDefault="008A7972" w:rsidP="008A7972">
      <w:pPr>
        <w:ind w:firstLine="720"/>
        <w:rPr>
          <w:rFonts w:ascii="Times New Roman" w:eastAsia="Arial" w:hAnsi="Times New Roman" w:cs="Times New Roman"/>
        </w:rPr>
      </w:pPr>
      <w:r w:rsidRPr="00034824">
        <w:rPr>
          <w:rFonts w:ascii="Times New Roman" w:eastAsia="Arial" w:hAnsi="Times New Roman" w:cs="Times New Roman"/>
        </w:rPr>
        <w:t xml:space="preserve">Júnior, Rafael Alves Passareli </w:t>
      </w:r>
    </w:p>
    <w:p w14:paraId="211D4EE2" w14:textId="77777777" w:rsidR="008A7972" w:rsidRPr="00034824" w:rsidRDefault="008A7972" w:rsidP="008A7972">
      <w:pPr>
        <w:ind w:firstLine="720"/>
        <w:rPr>
          <w:rFonts w:ascii="Times New Roman" w:eastAsia="Arial" w:hAnsi="Times New Roman" w:cs="Times New Roman"/>
        </w:rPr>
      </w:pPr>
      <w:r w:rsidRPr="00034824">
        <w:rPr>
          <w:rFonts w:ascii="Times New Roman" w:eastAsia="Arial" w:hAnsi="Times New Roman" w:cs="Times New Roman"/>
        </w:rPr>
        <w:t>Integração entre o Sistema Financeiro Nacional (SFN) e o Sistema de Pagamentos Brasileiro (SPB): Estruturas, Sinergias e Impactos na Economia Brasileira - Ribeirão Preto, 2025</w:t>
      </w:r>
    </w:p>
    <w:p w14:paraId="7C67F656" w14:textId="55D905F4" w:rsidR="008A7972" w:rsidRPr="004F0A1B" w:rsidRDefault="00A350C9" w:rsidP="008A7972">
      <w:pPr>
        <w:ind w:firstLine="720"/>
        <w:rPr>
          <w:rFonts w:ascii="Times New Roman" w:eastAsia="Arial" w:hAnsi="Times New Roman" w:cs="Times New Roman"/>
        </w:rPr>
      </w:pPr>
      <w:r>
        <w:rPr>
          <w:rFonts w:ascii="Times New Roman" w:eastAsia="Arial" w:hAnsi="Times New Roman" w:cs="Times New Roman"/>
        </w:rPr>
        <w:t>37</w:t>
      </w:r>
      <w:r w:rsidR="008A7972" w:rsidRPr="004F0A1B">
        <w:rPr>
          <w:rFonts w:ascii="Times New Roman" w:eastAsia="Arial" w:hAnsi="Times New Roman" w:cs="Times New Roman"/>
        </w:rPr>
        <w:t xml:space="preserve"> f.</w:t>
      </w:r>
    </w:p>
    <w:p w14:paraId="3B6230F6" w14:textId="74DA0410" w:rsidR="008A7972" w:rsidRPr="00034824" w:rsidRDefault="008A7972" w:rsidP="008A7972">
      <w:pPr>
        <w:ind w:firstLine="720"/>
        <w:jc w:val="both"/>
        <w:rPr>
          <w:rFonts w:ascii="Times New Roman" w:eastAsia="Arial" w:hAnsi="Times New Roman" w:cs="Times New Roman"/>
          <w:sz w:val="24"/>
          <w:szCs w:val="24"/>
        </w:rPr>
      </w:pPr>
      <w:r w:rsidRPr="00034824">
        <w:rPr>
          <w:rFonts w:ascii="Times New Roman" w:eastAsia="Arial" w:hAnsi="Times New Roman" w:cs="Times New Roman"/>
        </w:rPr>
        <w:t xml:space="preserve">Orientador: </w:t>
      </w:r>
      <w:r w:rsidR="00347B8D" w:rsidRPr="00034824">
        <w:rPr>
          <w:rFonts w:ascii="Times New Roman" w:eastAsia="Arial" w:hAnsi="Times New Roman" w:cs="Times New Roman"/>
          <w:sz w:val="24"/>
          <w:szCs w:val="24"/>
        </w:rPr>
        <w:t>Prof</w:t>
      </w:r>
      <w:r w:rsidR="00347B8D">
        <w:rPr>
          <w:rFonts w:ascii="Times New Roman" w:eastAsia="Arial" w:hAnsi="Times New Roman" w:cs="Times New Roman"/>
          <w:sz w:val="24"/>
          <w:szCs w:val="24"/>
        </w:rPr>
        <w:t xml:space="preserve">. Diego Bevilacqua </w:t>
      </w:r>
      <w:proofErr w:type="spellStart"/>
      <w:r w:rsidR="00347B8D">
        <w:rPr>
          <w:rFonts w:ascii="Times New Roman" w:eastAsia="Arial" w:hAnsi="Times New Roman" w:cs="Times New Roman"/>
          <w:sz w:val="24"/>
          <w:szCs w:val="24"/>
        </w:rPr>
        <w:t>Meli</w:t>
      </w:r>
      <w:proofErr w:type="spellEnd"/>
      <w:r w:rsidRPr="00034824">
        <w:rPr>
          <w:rFonts w:ascii="Times New Roman" w:eastAsia="Arial" w:hAnsi="Times New Roman" w:cs="Times New Roman"/>
          <w:sz w:val="24"/>
          <w:szCs w:val="24"/>
        </w:rPr>
        <w:t>.</w:t>
      </w:r>
    </w:p>
    <w:p w14:paraId="40FD209D" w14:textId="77777777" w:rsidR="008A7972" w:rsidRPr="00034824" w:rsidRDefault="008A7972" w:rsidP="008A7972">
      <w:pPr>
        <w:pBdr>
          <w:top w:val="nil"/>
          <w:left w:val="nil"/>
          <w:bottom w:val="nil"/>
          <w:right w:val="nil"/>
          <w:between w:val="nil"/>
        </w:pBdr>
        <w:spacing w:after="0" w:line="360" w:lineRule="auto"/>
        <w:ind w:firstLine="720"/>
        <w:rPr>
          <w:rFonts w:ascii="Times New Roman" w:eastAsia="Arial" w:hAnsi="Times New Roman" w:cs="Times New Roman"/>
        </w:rPr>
      </w:pPr>
      <w:r w:rsidRPr="00034824">
        <w:rPr>
          <w:rFonts w:ascii="Times New Roman" w:eastAsia="Arial" w:hAnsi="Times New Roman" w:cs="Times New Roman"/>
        </w:rPr>
        <w:t>Trabalho de Conclusão de Curso (Graduação) – Faculdade Metropolitana do Estado de São Paulo, Bacharel em Administração, Polo Ribeirão Preto, SP, 2025.</w:t>
      </w:r>
    </w:p>
    <w:p w14:paraId="49D8F94E" w14:textId="5206D40C" w:rsidR="008A7972" w:rsidRPr="00034824" w:rsidRDefault="003950DA" w:rsidP="008A7972">
      <w:pPr>
        <w:pStyle w:val="PargrafodaLista"/>
        <w:numPr>
          <w:ilvl w:val="0"/>
          <w:numId w:val="1"/>
        </w:numPr>
        <w:pBdr>
          <w:top w:val="nil"/>
          <w:left w:val="nil"/>
          <w:bottom w:val="nil"/>
          <w:right w:val="nil"/>
          <w:between w:val="nil"/>
        </w:pBdr>
        <w:spacing w:after="0" w:line="360" w:lineRule="auto"/>
        <w:rPr>
          <w:rFonts w:ascii="Times New Roman" w:eastAsia="Arial" w:hAnsi="Times New Roman" w:cs="Times New Roman"/>
          <w:color w:val="000000"/>
        </w:rPr>
      </w:pPr>
      <w:r>
        <w:rPr>
          <w:rFonts w:ascii="Times New Roman" w:eastAsia="Arial" w:hAnsi="Times New Roman" w:cs="Times New Roman"/>
          <w:sz w:val="24"/>
          <w:szCs w:val="24"/>
        </w:rPr>
        <w:t>Sistema Financeiro Nacional</w:t>
      </w:r>
      <w:r w:rsidR="008A7972" w:rsidRPr="00034824">
        <w:rPr>
          <w:rFonts w:ascii="Times New Roman" w:eastAsia="Arial" w:hAnsi="Times New Roman" w:cs="Times New Roman"/>
          <w:color w:val="000000"/>
        </w:rPr>
        <w:t xml:space="preserve">. 2. </w:t>
      </w:r>
      <w:r>
        <w:rPr>
          <w:rFonts w:ascii="Times New Roman" w:eastAsia="Arial" w:hAnsi="Times New Roman" w:cs="Times New Roman"/>
          <w:sz w:val="24"/>
          <w:szCs w:val="24"/>
        </w:rPr>
        <w:t>Sistema de Pagamentos Brasileiro</w:t>
      </w:r>
      <w:r w:rsidR="008A7972" w:rsidRPr="00034824">
        <w:rPr>
          <w:rFonts w:ascii="Times New Roman" w:eastAsia="Arial" w:hAnsi="Times New Roman" w:cs="Times New Roman"/>
          <w:color w:val="000000"/>
        </w:rPr>
        <w:t xml:space="preserve">. 3. </w:t>
      </w:r>
      <w:r>
        <w:rPr>
          <w:rFonts w:ascii="Times New Roman" w:eastAsia="Arial" w:hAnsi="Times New Roman" w:cs="Times New Roman"/>
          <w:sz w:val="24"/>
          <w:szCs w:val="24"/>
        </w:rPr>
        <w:t>Eficiência Econômica</w:t>
      </w:r>
      <w:r w:rsidR="008A7972" w:rsidRPr="00034824">
        <w:rPr>
          <w:rFonts w:ascii="Times New Roman" w:eastAsia="Arial" w:hAnsi="Times New Roman" w:cs="Times New Roman"/>
          <w:color w:val="000000"/>
        </w:rPr>
        <w:t>.</w:t>
      </w:r>
    </w:p>
    <w:p w14:paraId="23E1101C" w14:textId="77777777" w:rsidR="008A7972" w:rsidRPr="00034824" w:rsidRDefault="008A7972" w:rsidP="008A7972">
      <w:pPr>
        <w:jc w:val="center"/>
        <w:rPr>
          <w:rFonts w:ascii="Times New Roman" w:eastAsia="Arial" w:hAnsi="Times New Roman" w:cs="Times New Roman"/>
        </w:rPr>
      </w:pPr>
    </w:p>
    <w:p w14:paraId="0C33D5CC" w14:textId="77777777" w:rsidR="008A7972" w:rsidRPr="00034824" w:rsidRDefault="008A7972" w:rsidP="008A7972">
      <w:pPr>
        <w:jc w:val="center"/>
        <w:rPr>
          <w:rFonts w:ascii="Times New Roman" w:eastAsia="Arial" w:hAnsi="Times New Roman" w:cs="Times New Roman"/>
        </w:rPr>
      </w:pPr>
    </w:p>
    <w:p w14:paraId="3B9D9B7F" w14:textId="77777777" w:rsidR="008A7972" w:rsidRPr="00034824" w:rsidRDefault="008A7972" w:rsidP="008A7972">
      <w:pPr>
        <w:jc w:val="center"/>
        <w:rPr>
          <w:rFonts w:ascii="Times New Roman" w:eastAsia="Arial" w:hAnsi="Times New Roman" w:cs="Times New Roman"/>
        </w:rPr>
      </w:pPr>
    </w:p>
    <w:p w14:paraId="28632D4E" w14:textId="77777777" w:rsidR="008A7972" w:rsidRPr="00034824" w:rsidRDefault="008A7972" w:rsidP="008A7972">
      <w:pPr>
        <w:jc w:val="center"/>
        <w:rPr>
          <w:rFonts w:ascii="Times New Roman" w:eastAsia="Arial" w:hAnsi="Times New Roman" w:cs="Times New Roman"/>
        </w:rPr>
      </w:pPr>
    </w:p>
    <w:p w14:paraId="7FCDDED3" w14:textId="77777777" w:rsidR="008A7972" w:rsidRPr="00034824" w:rsidRDefault="008A7972" w:rsidP="008A7972">
      <w:pPr>
        <w:jc w:val="center"/>
        <w:rPr>
          <w:rFonts w:ascii="Times New Roman" w:eastAsia="Arial" w:hAnsi="Times New Roman" w:cs="Times New Roman"/>
        </w:rPr>
      </w:pPr>
    </w:p>
    <w:p w14:paraId="17EA4E86" w14:textId="77777777" w:rsidR="008A7972" w:rsidRPr="00034824" w:rsidRDefault="008A7972" w:rsidP="008A7972">
      <w:pPr>
        <w:jc w:val="center"/>
        <w:rPr>
          <w:rFonts w:ascii="Times New Roman" w:eastAsia="Arial" w:hAnsi="Times New Roman" w:cs="Times New Roman"/>
        </w:rPr>
      </w:pPr>
    </w:p>
    <w:p w14:paraId="497AA7B8" w14:textId="77777777" w:rsidR="008A7972" w:rsidRPr="00034824" w:rsidRDefault="008A7972" w:rsidP="008A7972">
      <w:pPr>
        <w:rPr>
          <w:rFonts w:ascii="Times New Roman" w:eastAsia="Arial" w:hAnsi="Times New Roman" w:cs="Times New Roman"/>
        </w:rPr>
      </w:pPr>
    </w:p>
    <w:p w14:paraId="0181160A" w14:textId="77777777" w:rsidR="008A7972" w:rsidRPr="00034824" w:rsidRDefault="008A7972" w:rsidP="008A7972">
      <w:pPr>
        <w:jc w:val="center"/>
        <w:rPr>
          <w:rFonts w:ascii="Times New Roman" w:eastAsia="Arial" w:hAnsi="Times New Roman" w:cs="Times New Roman"/>
        </w:rPr>
      </w:pPr>
      <w:r w:rsidRPr="00034824">
        <w:rPr>
          <w:rFonts w:ascii="Times New Roman" w:eastAsia="Arial" w:hAnsi="Times New Roman" w:cs="Times New Roman"/>
        </w:rPr>
        <w:t>Ribeirão Preto</w:t>
      </w:r>
    </w:p>
    <w:p w14:paraId="50372917" w14:textId="77777777" w:rsidR="008A7972" w:rsidRPr="00034824" w:rsidRDefault="008A7972" w:rsidP="008A7972">
      <w:pPr>
        <w:jc w:val="center"/>
        <w:rPr>
          <w:rFonts w:ascii="Times New Roman" w:eastAsia="Arial" w:hAnsi="Times New Roman" w:cs="Times New Roman"/>
        </w:rPr>
      </w:pPr>
      <w:r w:rsidRPr="00034824">
        <w:rPr>
          <w:rFonts w:ascii="Times New Roman" w:eastAsia="Arial" w:hAnsi="Times New Roman" w:cs="Times New Roman"/>
        </w:rPr>
        <w:t>- 2025 -</w:t>
      </w:r>
    </w:p>
    <w:p w14:paraId="6F303EAE" w14:textId="77777777" w:rsidR="008A7972" w:rsidRPr="00034824" w:rsidRDefault="008A7972" w:rsidP="008A7972">
      <w:pPr>
        <w:rPr>
          <w:rFonts w:ascii="Times New Roman" w:eastAsia="Arial" w:hAnsi="Times New Roman" w:cs="Times New Roman"/>
          <w:b/>
          <w:sz w:val="24"/>
          <w:szCs w:val="24"/>
        </w:rPr>
      </w:pPr>
      <w:r w:rsidRPr="00034824">
        <w:rPr>
          <w:rFonts w:ascii="Times New Roman" w:hAnsi="Times New Roman" w:cs="Times New Roman"/>
        </w:rPr>
        <w:br w:type="page"/>
      </w:r>
      <w:r w:rsidRPr="00034824">
        <w:rPr>
          <w:rFonts w:ascii="Times New Roman" w:eastAsia="Arial" w:hAnsi="Times New Roman" w:cs="Times New Roman"/>
          <w:b/>
          <w:sz w:val="24"/>
          <w:szCs w:val="24"/>
        </w:rPr>
        <w:lastRenderedPageBreak/>
        <w:t>AGRADECIMENTOS</w:t>
      </w:r>
    </w:p>
    <w:p w14:paraId="28E19106" w14:textId="77777777" w:rsidR="008A7972" w:rsidRPr="00034824" w:rsidRDefault="008A7972" w:rsidP="008A7972">
      <w:pPr>
        <w:rPr>
          <w:rFonts w:ascii="Times New Roman" w:eastAsia="Arial" w:hAnsi="Times New Roman" w:cs="Times New Roman"/>
          <w:b/>
        </w:rPr>
      </w:pPr>
    </w:p>
    <w:p w14:paraId="708557BD" w14:textId="77777777" w:rsidR="008A7972" w:rsidRPr="00034824" w:rsidRDefault="008A7972" w:rsidP="008A7972">
      <w:pPr>
        <w:spacing w:line="360" w:lineRule="auto"/>
        <w:ind w:firstLine="708"/>
        <w:jc w:val="both"/>
        <w:rPr>
          <w:rFonts w:ascii="Times New Roman" w:eastAsia="Arial" w:hAnsi="Times New Roman" w:cs="Times New Roman"/>
          <w:sz w:val="24"/>
          <w:szCs w:val="24"/>
        </w:rPr>
      </w:pPr>
      <w:r w:rsidRPr="00034824">
        <w:rPr>
          <w:rFonts w:ascii="Times New Roman" w:eastAsia="Arial" w:hAnsi="Times New Roman" w:cs="Times New Roman"/>
          <w:sz w:val="24"/>
          <w:szCs w:val="24"/>
        </w:rPr>
        <w:t>Primeiramente, agradeço a Deus</w:t>
      </w:r>
      <w:r w:rsidRPr="0053038F">
        <w:rPr>
          <w:rFonts w:ascii="Times New Roman" w:eastAsia="Arial" w:hAnsi="Times New Roman" w:cs="Times New Roman"/>
          <w:sz w:val="24"/>
          <w:szCs w:val="24"/>
        </w:rPr>
        <w:t>, por ser meu alicerce, meu refúgio em dias difíceis e a fonte de toda a minha força. Sem Ele, nada disso seria possível</w:t>
      </w:r>
      <w:r w:rsidRPr="00034824">
        <w:rPr>
          <w:rFonts w:ascii="Times New Roman" w:eastAsia="Arial" w:hAnsi="Times New Roman" w:cs="Times New Roman"/>
          <w:sz w:val="24"/>
          <w:szCs w:val="24"/>
        </w:rPr>
        <w:t>.</w:t>
      </w:r>
    </w:p>
    <w:p w14:paraId="4683CF37" w14:textId="77777777" w:rsidR="008A7972" w:rsidRDefault="008A7972" w:rsidP="008A7972">
      <w:pPr>
        <w:spacing w:line="360" w:lineRule="auto"/>
        <w:ind w:firstLine="708"/>
        <w:jc w:val="both"/>
        <w:rPr>
          <w:rFonts w:ascii="Times New Roman" w:eastAsia="Arial" w:hAnsi="Times New Roman" w:cs="Times New Roman"/>
          <w:sz w:val="24"/>
          <w:szCs w:val="24"/>
        </w:rPr>
      </w:pPr>
      <w:r w:rsidRPr="0053038F">
        <w:rPr>
          <w:rFonts w:ascii="Times New Roman" w:eastAsia="Arial" w:hAnsi="Times New Roman" w:cs="Times New Roman"/>
          <w:sz w:val="24"/>
          <w:szCs w:val="24"/>
        </w:rPr>
        <w:t>Ao meu pai, Rafael, que sempre acreditou em mim e me ensinou, com seu exemplo, a importância da coragem, da responsabilidade e da determinação. Obrigad</w:t>
      </w:r>
      <w:r>
        <w:rPr>
          <w:rFonts w:ascii="Times New Roman" w:eastAsia="Arial" w:hAnsi="Times New Roman" w:cs="Times New Roman"/>
          <w:sz w:val="24"/>
          <w:szCs w:val="24"/>
        </w:rPr>
        <w:t>o</w:t>
      </w:r>
      <w:r w:rsidRPr="0053038F">
        <w:rPr>
          <w:rFonts w:ascii="Times New Roman" w:eastAsia="Arial" w:hAnsi="Times New Roman" w:cs="Times New Roman"/>
          <w:sz w:val="24"/>
          <w:szCs w:val="24"/>
        </w:rPr>
        <w:t xml:space="preserve"> por estar presente em todos os momentos decisivos da minha vida.</w:t>
      </w:r>
    </w:p>
    <w:p w14:paraId="49B15E00" w14:textId="77777777" w:rsidR="008A7972" w:rsidRPr="00034824" w:rsidRDefault="008A7972" w:rsidP="008A7972">
      <w:pPr>
        <w:spacing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À minha mãe, Luciana, por sua presença em minha vida e pelas contribuições ao meu crescimento. </w:t>
      </w:r>
      <w:r w:rsidRPr="00452E86">
        <w:rPr>
          <w:rFonts w:ascii="Times New Roman" w:eastAsia="Arial" w:hAnsi="Times New Roman" w:cs="Times New Roman"/>
          <w:sz w:val="24"/>
          <w:szCs w:val="24"/>
        </w:rPr>
        <w:t>Agradeço pelos ensinamentos</w:t>
      </w:r>
      <w:r>
        <w:rPr>
          <w:rFonts w:ascii="Times New Roman" w:eastAsia="Arial" w:hAnsi="Times New Roman" w:cs="Times New Roman"/>
          <w:sz w:val="24"/>
          <w:szCs w:val="24"/>
        </w:rPr>
        <w:t xml:space="preserve"> e pelas lições de força e coragem que aprendi ao longo da minha trajetória.</w:t>
      </w:r>
    </w:p>
    <w:p w14:paraId="34700ADB" w14:textId="77777777" w:rsidR="008A7972" w:rsidRPr="00034824" w:rsidRDefault="008A7972" w:rsidP="008A7972">
      <w:pPr>
        <w:spacing w:line="360" w:lineRule="auto"/>
        <w:ind w:firstLine="708"/>
        <w:jc w:val="both"/>
        <w:rPr>
          <w:rFonts w:ascii="Times New Roman" w:eastAsia="Arial" w:hAnsi="Times New Roman" w:cs="Times New Roman"/>
          <w:sz w:val="24"/>
          <w:szCs w:val="24"/>
        </w:rPr>
      </w:pPr>
      <w:r w:rsidRPr="00034824">
        <w:rPr>
          <w:rFonts w:ascii="Times New Roman" w:eastAsia="Arial" w:hAnsi="Times New Roman" w:cs="Times New Roman"/>
          <w:sz w:val="24"/>
          <w:szCs w:val="24"/>
        </w:rPr>
        <w:t>Aos meus p</w:t>
      </w:r>
      <w:r>
        <w:rPr>
          <w:rFonts w:ascii="Times New Roman" w:eastAsia="Arial" w:hAnsi="Times New Roman" w:cs="Times New Roman"/>
          <w:sz w:val="24"/>
          <w:szCs w:val="24"/>
        </w:rPr>
        <w:t>adrinhos</w:t>
      </w:r>
      <w:r w:rsidRPr="00034824">
        <w:rPr>
          <w:rFonts w:ascii="Times New Roman" w:eastAsia="Arial" w:hAnsi="Times New Roman" w:cs="Times New Roman"/>
          <w:sz w:val="24"/>
          <w:szCs w:val="24"/>
        </w:rPr>
        <w:t xml:space="preserve">, </w:t>
      </w:r>
      <w:r>
        <w:rPr>
          <w:rFonts w:ascii="Times New Roman" w:eastAsia="Arial" w:hAnsi="Times New Roman" w:cs="Times New Roman"/>
          <w:sz w:val="24"/>
          <w:szCs w:val="24"/>
        </w:rPr>
        <w:t>Débora e Júnior</w:t>
      </w:r>
      <w:r w:rsidRPr="00034824">
        <w:rPr>
          <w:rFonts w:ascii="Times New Roman" w:eastAsia="Arial" w:hAnsi="Times New Roman" w:cs="Times New Roman"/>
          <w:sz w:val="24"/>
          <w:szCs w:val="24"/>
        </w:rPr>
        <w:t xml:space="preserve">, minhas referências de vida, que sempre me apoiaram e me incentivaram. Obrigada </w:t>
      </w:r>
      <w:r>
        <w:rPr>
          <w:rFonts w:ascii="Times New Roman" w:eastAsia="Arial" w:hAnsi="Times New Roman" w:cs="Times New Roman"/>
          <w:sz w:val="24"/>
          <w:szCs w:val="24"/>
        </w:rPr>
        <w:t>por serem presença constante de carinho, apoio e palavras encorajadoras, sempre torcendo por mim e me acompanhando em minha trajetória com orgulho</w:t>
      </w:r>
      <w:r w:rsidRPr="00034824">
        <w:rPr>
          <w:rFonts w:ascii="Times New Roman" w:eastAsia="Arial" w:hAnsi="Times New Roman" w:cs="Times New Roman"/>
          <w:sz w:val="24"/>
          <w:szCs w:val="24"/>
        </w:rPr>
        <w:t>.</w:t>
      </w:r>
    </w:p>
    <w:p w14:paraId="495D39C4" w14:textId="77777777" w:rsidR="008A7972" w:rsidRDefault="008A7972" w:rsidP="008A7972">
      <w:pPr>
        <w:spacing w:line="360" w:lineRule="auto"/>
        <w:ind w:firstLine="708"/>
        <w:jc w:val="both"/>
        <w:rPr>
          <w:rFonts w:ascii="Times New Roman" w:eastAsia="Arial" w:hAnsi="Times New Roman" w:cs="Times New Roman"/>
          <w:sz w:val="24"/>
          <w:szCs w:val="24"/>
        </w:rPr>
      </w:pPr>
      <w:r w:rsidRPr="00931402">
        <w:rPr>
          <w:rFonts w:ascii="Times New Roman" w:eastAsia="Arial" w:hAnsi="Times New Roman" w:cs="Times New Roman"/>
          <w:sz w:val="24"/>
          <w:szCs w:val="24"/>
        </w:rPr>
        <w:t>À minha madrasta, Jéssica, por acolher-me com tanto carinho e por contribuir com meu crescimento. Sua presença tem muito valor na minha vida.</w:t>
      </w:r>
    </w:p>
    <w:p w14:paraId="187DF59D" w14:textId="77777777" w:rsidR="008A7972" w:rsidRDefault="008A7972" w:rsidP="008A7972">
      <w:pPr>
        <w:spacing w:line="360" w:lineRule="auto"/>
        <w:ind w:firstLine="708"/>
        <w:jc w:val="both"/>
        <w:rPr>
          <w:rFonts w:ascii="Times New Roman" w:eastAsia="Arial" w:hAnsi="Times New Roman" w:cs="Times New Roman"/>
          <w:sz w:val="24"/>
          <w:szCs w:val="24"/>
        </w:rPr>
      </w:pPr>
      <w:r w:rsidRPr="00630517">
        <w:rPr>
          <w:rFonts w:ascii="Times New Roman" w:eastAsia="Arial" w:hAnsi="Times New Roman" w:cs="Times New Roman"/>
          <w:sz w:val="24"/>
          <w:szCs w:val="24"/>
        </w:rPr>
        <w:t xml:space="preserve">Aos meus irmãos, </w:t>
      </w:r>
      <w:proofErr w:type="spellStart"/>
      <w:r w:rsidRPr="00630517">
        <w:rPr>
          <w:rFonts w:ascii="Times New Roman" w:eastAsia="Arial" w:hAnsi="Times New Roman" w:cs="Times New Roman"/>
          <w:sz w:val="24"/>
          <w:szCs w:val="24"/>
        </w:rPr>
        <w:t>Luis</w:t>
      </w:r>
      <w:proofErr w:type="spellEnd"/>
      <w:r w:rsidRPr="00630517">
        <w:rPr>
          <w:rFonts w:ascii="Times New Roman" w:eastAsia="Arial" w:hAnsi="Times New Roman" w:cs="Times New Roman"/>
          <w:sz w:val="24"/>
          <w:szCs w:val="24"/>
        </w:rPr>
        <w:t xml:space="preserve"> Miguel e Mathias, que me enchem de alegria e esperança. Cada sorriso de vocês me lembrou, dia após dia, o quanto vale a pena lutar pelos nossos sonhos.</w:t>
      </w:r>
    </w:p>
    <w:p w14:paraId="3344409B" w14:textId="77777777" w:rsidR="008A7972" w:rsidRDefault="008A7972" w:rsidP="008A7972">
      <w:pPr>
        <w:spacing w:line="360" w:lineRule="auto"/>
        <w:ind w:firstLine="708"/>
        <w:jc w:val="both"/>
        <w:rPr>
          <w:rFonts w:ascii="Times New Roman" w:eastAsia="Arial" w:hAnsi="Times New Roman" w:cs="Times New Roman"/>
          <w:sz w:val="24"/>
          <w:szCs w:val="24"/>
        </w:rPr>
      </w:pPr>
      <w:r w:rsidRPr="00630517">
        <w:rPr>
          <w:rFonts w:ascii="Times New Roman" w:eastAsia="Arial" w:hAnsi="Times New Roman" w:cs="Times New Roman"/>
          <w:sz w:val="24"/>
          <w:szCs w:val="24"/>
        </w:rPr>
        <w:t>À minha namorada, Maria Júlia, meu amor e minha companheira. Obrigada por caminhar ao meu lado com tanto amor, compreensão e apoio</w:t>
      </w:r>
      <w:r>
        <w:rPr>
          <w:rFonts w:ascii="Times New Roman" w:eastAsia="Arial" w:hAnsi="Times New Roman" w:cs="Times New Roman"/>
          <w:sz w:val="24"/>
          <w:szCs w:val="24"/>
        </w:rPr>
        <w:t>.</w:t>
      </w:r>
    </w:p>
    <w:p w14:paraId="5C6F5977" w14:textId="77777777" w:rsidR="008A7972" w:rsidRPr="00034824" w:rsidRDefault="008A7972" w:rsidP="008A7972">
      <w:pPr>
        <w:spacing w:line="360" w:lineRule="auto"/>
        <w:ind w:firstLine="708"/>
        <w:jc w:val="both"/>
        <w:rPr>
          <w:rFonts w:ascii="Times New Roman" w:eastAsia="Arial" w:hAnsi="Times New Roman" w:cs="Times New Roman"/>
        </w:rPr>
      </w:pPr>
      <w:r w:rsidRPr="0016282B">
        <w:rPr>
          <w:rFonts w:ascii="Times New Roman" w:eastAsia="Arial" w:hAnsi="Times New Roman" w:cs="Times New Roman"/>
          <w:sz w:val="24"/>
          <w:szCs w:val="24"/>
        </w:rPr>
        <w:t>A todos os meus familiares, professores, colegas e demais pessoas que fizeram parte dessa etapa da minha vida, deixo aqui minha gratidão sincera.</w:t>
      </w:r>
    </w:p>
    <w:p w14:paraId="36C81E4C" w14:textId="77777777" w:rsidR="008A7972" w:rsidRPr="00034824" w:rsidRDefault="008A7972" w:rsidP="008A7972">
      <w:pPr>
        <w:rPr>
          <w:rFonts w:ascii="Times New Roman" w:eastAsia="Arial" w:hAnsi="Times New Roman" w:cs="Times New Roman"/>
        </w:rPr>
      </w:pPr>
    </w:p>
    <w:p w14:paraId="363F0AF3" w14:textId="77777777" w:rsidR="008A7972" w:rsidRPr="00034824" w:rsidRDefault="008A7972" w:rsidP="008A7972">
      <w:pPr>
        <w:rPr>
          <w:rFonts w:ascii="Times New Roman" w:eastAsia="Arial" w:hAnsi="Times New Roman" w:cs="Times New Roman"/>
        </w:rPr>
      </w:pPr>
    </w:p>
    <w:p w14:paraId="2B93CEBE" w14:textId="77777777" w:rsidR="008A7972" w:rsidRPr="00034824" w:rsidRDefault="008A7972" w:rsidP="008A7972">
      <w:pPr>
        <w:rPr>
          <w:rFonts w:ascii="Times New Roman" w:eastAsia="Arial" w:hAnsi="Times New Roman" w:cs="Times New Roman"/>
        </w:rPr>
      </w:pPr>
    </w:p>
    <w:p w14:paraId="606F06EB" w14:textId="77777777" w:rsidR="008A7972" w:rsidRPr="00034824" w:rsidRDefault="008A7972" w:rsidP="008A7972">
      <w:pPr>
        <w:rPr>
          <w:rFonts w:ascii="Times New Roman" w:eastAsia="Arial" w:hAnsi="Times New Roman" w:cs="Times New Roman"/>
        </w:rPr>
      </w:pPr>
    </w:p>
    <w:p w14:paraId="1E69528B" w14:textId="77777777" w:rsidR="008A7972" w:rsidRPr="00034824" w:rsidRDefault="008A7972" w:rsidP="008A7972">
      <w:pPr>
        <w:rPr>
          <w:rFonts w:ascii="Times New Roman" w:eastAsia="Arial" w:hAnsi="Times New Roman" w:cs="Times New Roman"/>
        </w:rPr>
      </w:pPr>
    </w:p>
    <w:p w14:paraId="49906AEC" w14:textId="77777777" w:rsidR="008A7972" w:rsidRPr="00034824" w:rsidRDefault="008A7972" w:rsidP="008A7972">
      <w:pPr>
        <w:rPr>
          <w:rFonts w:ascii="Times New Roman" w:eastAsia="Arial" w:hAnsi="Times New Roman" w:cs="Times New Roman"/>
        </w:rPr>
      </w:pPr>
    </w:p>
    <w:p w14:paraId="4462C410" w14:textId="77777777" w:rsidR="008A7972" w:rsidRPr="00034824" w:rsidRDefault="008A7972" w:rsidP="008A7972">
      <w:pPr>
        <w:rPr>
          <w:rFonts w:ascii="Times New Roman" w:eastAsia="Arial" w:hAnsi="Times New Roman" w:cs="Times New Roman"/>
        </w:rPr>
      </w:pPr>
    </w:p>
    <w:p w14:paraId="1C087BF9" w14:textId="77777777" w:rsidR="008A7972" w:rsidRPr="00034824" w:rsidRDefault="008A7972" w:rsidP="008A7972">
      <w:pPr>
        <w:rPr>
          <w:rFonts w:ascii="Times New Roman" w:eastAsia="Arial" w:hAnsi="Times New Roman" w:cs="Times New Roman"/>
        </w:rPr>
      </w:pPr>
    </w:p>
    <w:p w14:paraId="0C88B0FD" w14:textId="77777777" w:rsidR="008A7972" w:rsidRPr="00034824" w:rsidRDefault="008A7972" w:rsidP="008A7972">
      <w:pPr>
        <w:rPr>
          <w:rFonts w:ascii="Times New Roman" w:eastAsia="Arial" w:hAnsi="Times New Roman" w:cs="Times New Roman"/>
        </w:rPr>
      </w:pPr>
    </w:p>
    <w:p w14:paraId="72FA8FDB" w14:textId="77777777" w:rsidR="008A7972" w:rsidRPr="00034824" w:rsidRDefault="008A7972" w:rsidP="008A7972">
      <w:pPr>
        <w:rPr>
          <w:rFonts w:ascii="Times New Roman" w:eastAsia="Arial" w:hAnsi="Times New Roman" w:cs="Times New Roman"/>
        </w:rPr>
      </w:pPr>
    </w:p>
    <w:p w14:paraId="116DBC5F" w14:textId="77777777" w:rsidR="008A7972" w:rsidRPr="00034824" w:rsidRDefault="008A7972" w:rsidP="008A7972">
      <w:pPr>
        <w:spacing w:line="360" w:lineRule="auto"/>
        <w:jc w:val="both"/>
        <w:rPr>
          <w:rFonts w:ascii="Times New Roman" w:eastAsia="Arial" w:hAnsi="Times New Roman" w:cs="Times New Roman"/>
          <w:b/>
        </w:rPr>
      </w:pPr>
    </w:p>
    <w:p w14:paraId="39E04D12" w14:textId="77777777" w:rsidR="008A7972" w:rsidRPr="00034824" w:rsidRDefault="008A7972" w:rsidP="008A7972">
      <w:pPr>
        <w:spacing w:line="360" w:lineRule="auto"/>
        <w:jc w:val="both"/>
        <w:rPr>
          <w:rFonts w:ascii="Times New Roman" w:eastAsia="Arial" w:hAnsi="Times New Roman" w:cs="Times New Roman"/>
          <w:b/>
        </w:rPr>
      </w:pPr>
    </w:p>
    <w:p w14:paraId="6CF98D18" w14:textId="77777777" w:rsidR="008A7972" w:rsidRPr="00034824" w:rsidRDefault="008A7972" w:rsidP="008A7972">
      <w:pPr>
        <w:spacing w:line="360" w:lineRule="auto"/>
        <w:jc w:val="both"/>
        <w:rPr>
          <w:rFonts w:ascii="Times New Roman" w:eastAsia="Arial" w:hAnsi="Times New Roman" w:cs="Times New Roman"/>
          <w:b/>
        </w:rPr>
      </w:pPr>
    </w:p>
    <w:p w14:paraId="3CA6BE97" w14:textId="77777777" w:rsidR="008A7972" w:rsidRPr="00034824" w:rsidRDefault="008A7972" w:rsidP="008A7972">
      <w:pPr>
        <w:spacing w:line="360" w:lineRule="auto"/>
        <w:jc w:val="both"/>
        <w:rPr>
          <w:rFonts w:ascii="Times New Roman" w:eastAsia="Arial" w:hAnsi="Times New Roman" w:cs="Times New Roman"/>
          <w:b/>
        </w:rPr>
      </w:pPr>
    </w:p>
    <w:p w14:paraId="63EA7DD8" w14:textId="77777777" w:rsidR="008A7972" w:rsidRPr="00034824" w:rsidRDefault="008A7972" w:rsidP="008A7972">
      <w:pPr>
        <w:spacing w:line="360" w:lineRule="auto"/>
        <w:jc w:val="both"/>
        <w:rPr>
          <w:rFonts w:ascii="Times New Roman" w:eastAsia="Arial" w:hAnsi="Times New Roman" w:cs="Times New Roman"/>
          <w:b/>
        </w:rPr>
      </w:pPr>
    </w:p>
    <w:p w14:paraId="35EAC340" w14:textId="77777777" w:rsidR="008A7972" w:rsidRPr="00034824" w:rsidRDefault="008A7972" w:rsidP="008A7972">
      <w:pPr>
        <w:spacing w:line="360" w:lineRule="auto"/>
        <w:jc w:val="both"/>
        <w:rPr>
          <w:rFonts w:ascii="Times New Roman" w:eastAsia="Arial" w:hAnsi="Times New Roman" w:cs="Times New Roman"/>
          <w:b/>
        </w:rPr>
      </w:pPr>
    </w:p>
    <w:p w14:paraId="0A514ACA" w14:textId="77777777" w:rsidR="008A7972" w:rsidRPr="00034824" w:rsidRDefault="008A7972" w:rsidP="008A7972">
      <w:pPr>
        <w:spacing w:line="360" w:lineRule="auto"/>
        <w:jc w:val="both"/>
        <w:rPr>
          <w:rFonts w:ascii="Times New Roman" w:eastAsia="Arial" w:hAnsi="Times New Roman" w:cs="Times New Roman"/>
          <w:b/>
        </w:rPr>
      </w:pPr>
    </w:p>
    <w:p w14:paraId="6BAEE75F" w14:textId="77777777" w:rsidR="008A7972" w:rsidRPr="00034824" w:rsidRDefault="008A7972" w:rsidP="008A7972">
      <w:pPr>
        <w:spacing w:line="360" w:lineRule="auto"/>
        <w:jc w:val="both"/>
        <w:rPr>
          <w:rFonts w:ascii="Times New Roman" w:eastAsia="Arial" w:hAnsi="Times New Roman" w:cs="Times New Roman"/>
          <w:b/>
        </w:rPr>
      </w:pPr>
    </w:p>
    <w:p w14:paraId="2FEF05FF" w14:textId="77777777" w:rsidR="008A7972" w:rsidRPr="00034824" w:rsidRDefault="008A7972" w:rsidP="008A7972">
      <w:pPr>
        <w:spacing w:line="360" w:lineRule="auto"/>
        <w:jc w:val="both"/>
        <w:rPr>
          <w:rFonts w:ascii="Times New Roman" w:eastAsia="Arial" w:hAnsi="Times New Roman" w:cs="Times New Roman"/>
          <w:b/>
        </w:rPr>
      </w:pPr>
    </w:p>
    <w:p w14:paraId="7FC5E36C" w14:textId="77777777" w:rsidR="008A7972" w:rsidRPr="00034824" w:rsidRDefault="008A7972" w:rsidP="008A7972">
      <w:pPr>
        <w:spacing w:line="360" w:lineRule="auto"/>
        <w:jc w:val="both"/>
        <w:rPr>
          <w:rFonts w:ascii="Times New Roman" w:eastAsia="Arial" w:hAnsi="Times New Roman" w:cs="Times New Roman"/>
          <w:b/>
          <w:i/>
        </w:rPr>
      </w:pPr>
    </w:p>
    <w:p w14:paraId="65B293A1" w14:textId="77777777" w:rsidR="008A7972" w:rsidRPr="00034824" w:rsidRDefault="008A7972" w:rsidP="008A7972">
      <w:pPr>
        <w:spacing w:line="480" w:lineRule="auto"/>
        <w:ind w:left="4111"/>
        <w:jc w:val="both"/>
        <w:rPr>
          <w:rFonts w:ascii="Times New Roman" w:eastAsia="Arial" w:hAnsi="Times New Roman" w:cs="Times New Roman"/>
          <w:i/>
          <w:sz w:val="24"/>
          <w:szCs w:val="24"/>
        </w:rPr>
      </w:pPr>
      <w:r>
        <w:rPr>
          <w:rFonts w:ascii="Times New Roman" w:eastAsia="Arial" w:hAnsi="Times New Roman" w:cs="Times New Roman"/>
          <w:i/>
          <w:sz w:val="24"/>
          <w:szCs w:val="24"/>
        </w:rPr>
        <w:t>“</w:t>
      </w:r>
      <w:r w:rsidRPr="009C5626">
        <w:rPr>
          <w:rFonts w:ascii="Times New Roman" w:eastAsia="Arial" w:hAnsi="Times New Roman" w:cs="Times New Roman"/>
          <w:i/>
          <w:sz w:val="24"/>
          <w:szCs w:val="24"/>
        </w:rPr>
        <w:t>A experiência não é o que acontece com um homem; é o que um homem faz com o que lhe acontece</w:t>
      </w:r>
      <w:r>
        <w:rPr>
          <w:rFonts w:ascii="Times New Roman" w:eastAsia="Arial" w:hAnsi="Times New Roman" w:cs="Times New Roman"/>
          <w:i/>
          <w:sz w:val="24"/>
          <w:szCs w:val="24"/>
        </w:rPr>
        <w:t>.”</w:t>
      </w:r>
    </w:p>
    <w:p w14:paraId="0ED668D3" w14:textId="77777777" w:rsidR="008A7972" w:rsidRPr="00034824" w:rsidRDefault="008A7972" w:rsidP="008A7972">
      <w:pPr>
        <w:spacing w:line="480" w:lineRule="auto"/>
        <w:jc w:val="right"/>
        <w:rPr>
          <w:rFonts w:ascii="Times New Roman" w:eastAsia="Arial" w:hAnsi="Times New Roman" w:cs="Times New Roman"/>
          <w:i/>
          <w:sz w:val="24"/>
          <w:szCs w:val="24"/>
        </w:rPr>
      </w:pPr>
      <w:r w:rsidRPr="00034824">
        <w:rPr>
          <w:rFonts w:ascii="Times New Roman" w:eastAsia="Arial" w:hAnsi="Times New Roman" w:cs="Times New Roman"/>
          <w:i/>
          <w:sz w:val="24"/>
          <w:szCs w:val="24"/>
        </w:rPr>
        <w:t>(</w:t>
      </w:r>
      <w:r>
        <w:rPr>
          <w:rFonts w:ascii="Times New Roman" w:eastAsia="Arial" w:hAnsi="Times New Roman" w:cs="Times New Roman"/>
          <w:i/>
          <w:sz w:val="24"/>
          <w:szCs w:val="24"/>
        </w:rPr>
        <w:t>Aldous Huxley</w:t>
      </w:r>
      <w:r w:rsidRPr="00034824">
        <w:rPr>
          <w:rFonts w:ascii="Times New Roman" w:eastAsia="Arial" w:hAnsi="Times New Roman" w:cs="Times New Roman"/>
          <w:i/>
          <w:sz w:val="24"/>
          <w:szCs w:val="24"/>
        </w:rPr>
        <w:t>)</w:t>
      </w:r>
    </w:p>
    <w:p w14:paraId="52801841" w14:textId="77777777" w:rsidR="008A7972" w:rsidRPr="00034824" w:rsidRDefault="008A7972" w:rsidP="008A7972">
      <w:pPr>
        <w:rPr>
          <w:rFonts w:ascii="Times New Roman" w:hAnsi="Times New Roman" w:cs="Times New Roman"/>
          <w:b/>
          <w:i/>
          <w:sz w:val="52"/>
          <w:szCs w:val="52"/>
        </w:rPr>
      </w:pPr>
    </w:p>
    <w:p w14:paraId="172F58E5" w14:textId="77777777" w:rsidR="008A7972" w:rsidRDefault="008A7972" w:rsidP="008A7972">
      <w:pPr>
        <w:rPr>
          <w:rFonts w:ascii="Times New Roman" w:hAnsi="Times New Roman" w:cs="Times New Roman"/>
          <w:b/>
          <w:i/>
          <w:sz w:val="52"/>
          <w:szCs w:val="52"/>
        </w:rPr>
      </w:pPr>
    </w:p>
    <w:p w14:paraId="0E721685" w14:textId="77777777" w:rsidR="008A7972" w:rsidRDefault="008A7972" w:rsidP="008A7972">
      <w:pPr>
        <w:rPr>
          <w:rFonts w:ascii="Times New Roman" w:hAnsi="Times New Roman" w:cs="Times New Roman"/>
          <w:b/>
          <w:i/>
          <w:sz w:val="52"/>
          <w:szCs w:val="52"/>
        </w:rPr>
      </w:pPr>
    </w:p>
    <w:p w14:paraId="49D6B12D" w14:textId="77777777" w:rsidR="008A7972" w:rsidRDefault="008A7972" w:rsidP="008A7972">
      <w:pPr>
        <w:rPr>
          <w:rFonts w:ascii="Times New Roman" w:hAnsi="Times New Roman" w:cs="Times New Roman"/>
          <w:b/>
          <w:i/>
          <w:sz w:val="52"/>
          <w:szCs w:val="52"/>
        </w:rPr>
      </w:pPr>
    </w:p>
    <w:p w14:paraId="4C57E26A" w14:textId="77777777" w:rsidR="008A7972" w:rsidRDefault="008A7972" w:rsidP="008A7972">
      <w:pPr>
        <w:rPr>
          <w:rFonts w:ascii="Times New Roman" w:hAnsi="Times New Roman" w:cs="Times New Roman"/>
          <w:b/>
          <w:i/>
          <w:sz w:val="52"/>
          <w:szCs w:val="52"/>
        </w:rPr>
      </w:pPr>
    </w:p>
    <w:p w14:paraId="6295D8E5" w14:textId="77777777" w:rsidR="008A7972" w:rsidRDefault="008A7972" w:rsidP="008A7972">
      <w:pPr>
        <w:rPr>
          <w:rFonts w:ascii="Times New Roman" w:hAnsi="Times New Roman" w:cs="Times New Roman"/>
          <w:b/>
          <w:i/>
          <w:sz w:val="52"/>
          <w:szCs w:val="52"/>
        </w:rPr>
      </w:pPr>
    </w:p>
    <w:p w14:paraId="29AEA19C" w14:textId="77777777" w:rsidR="008A7972" w:rsidRPr="00034824" w:rsidRDefault="008A7972" w:rsidP="008A7972">
      <w:pPr>
        <w:rPr>
          <w:rFonts w:ascii="Times New Roman" w:hAnsi="Times New Roman" w:cs="Times New Roman"/>
          <w:b/>
          <w:i/>
          <w:sz w:val="52"/>
          <w:szCs w:val="52"/>
        </w:rPr>
      </w:pPr>
    </w:p>
    <w:p w14:paraId="2B7A9E09" w14:textId="77777777" w:rsidR="008A7972" w:rsidRPr="00034824" w:rsidRDefault="008A7972" w:rsidP="008A7972">
      <w:pPr>
        <w:spacing w:line="360" w:lineRule="auto"/>
        <w:jc w:val="center"/>
        <w:rPr>
          <w:rFonts w:ascii="Times New Roman" w:eastAsia="Arial" w:hAnsi="Times New Roman" w:cs="Times New Roman"/>
          <w:b/>
          <w:sz w:val="24"/>
          <w:szCs w:val="24"/>
        </w:rPr>
      </w:pPr>
      <w:bookmarkStart w:id="0" w:name="_oesex09ietff" w:colFirst="0" w:colLast="0"/>
      <w:bookmarkEnd w:id="0"/>
      <w:r w:rsidRPr="00034824">
        <w:rPr>
          <w:rFonts w:ascii="Times New Roman" w:eastAsia="Arial" w:hAnsi="Times New Roman" w:cs="Times New Roman"/>
          <w:b/>
          <w:sz w:val="24"/>
          <w:szCs w:val="24"/>
        </w:rPr>
        <w:t>RESUMO</w:t>
      </w:r>
    </w:p>
    <w:p w14:paraId="1A0D9A3C" w14:textId="77777777" w:rsidR="008A7972" w:rsidRPr="00034824" w:rsidRDefault="008A7972" w:rsidP="008A7972">
      <w:pPr>
        <w:spacing w:line="360" w:lineRule="auto"/>
        <w:jc w:val="both"/>
        <w:rPr>
          <w:rFonts w:ascii="Times New Roman" w:eastAsia="Arial" w:hAnsi="Times New Roman" w:cs="Times New Roman"/>
          <w:sz w:val="24"/>
          <w:szCs w:val="24"/>
        </w:rPr>
      </w:pPr>
    </w:p>
    <w:p w14:paraId="16E2B6E8" w14:textId="16B29488" w:rsidR="008A7972" w:rsidRPr="00034824" w:rsidRDefault="008A7972" w:rsidP="008A7972">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O presente trabalho tem como objetivo central analisar a intersecção entre </w:t>
      </w:r>
      <w:r w:rsidR="002939B7">
        <w:rPr>
          <w:rFonts w:ascii="Times New Roman" w:eastAsia="Arial" w:hAnsi="Times New Roman" w:cs="Times New Roman"/>
          <w:sz w:val="24"/>
          <w:szCs w:val="24"/>
        </w:rPr>
        <w:t xml:space="preserve">o </w:t>
      </w:r>
      <w:r>
        <w:rPr>
          <w:rFonts w:ascii="Times New Roman" w:eastAsia="Arial" w:hAnsi="Times New Roman" w:cs="Times New Roman"/>
          <w:sz w:val="24"/>
          <w:szCs w:val="24"/>
        </w:rPr>
        <w:t xml:space="preserve">Sistema Financeiro Nacional (SFN) e o Sistema de Pagamentos Brasileiros (SPB), instituído pela Lei nº 12.865/2013, destacando suas principais características estruturais e funcionais, bem como o papel estratégico que sua sinergia desempenha na eficiência econômica do País. Enquanto o SFN é responsável por regular e supervisionar atividades relacionadas à moeda, crédito, câmbio, capitais, seguros privados e previdência fechada, o SPB engloba os arranjos de pagamentos (AP) e as infraestruturas de mercado financeiro (IMF). A pesquisa parte da premissa de que, apesar de disporem de escopos distintos, esses sistemas operam de forma sinérgica através dos pagamentos, das transferências interbancárias, da execução da política monetária, entre outros mecanismos que contribuem para a eficiência econômica e </w:t>
      </w:r>
      <w:r w:rsidR="00AD676E">
        <w:rPr>
          <w:rFonts w:ascii="Times New Roman" w:eastAsia="Arial" w:hAnsi="Times New Roman" w:cs="Times New Roman"/>
          <w:sz w:val="24"/>
          <w:szCs w:val="24"/>
        </w:rPr>
        <w:t xml:space="preserve">a </w:t>
      </w:r>
      <w:r>
        <w:rPr>
          <w:rFonts w:ascii="Times New Roman" w:eastAsia="Arial" w:hAnsi="Times New Roman" w:cs="Times New Roman"/>
          <w:sz w:val="24"/>
          <w:szCs w:val="24"/>
        </w:rPr>
        <w:t>estabilidade financeira do País. Nesse sentido, serão abordadas as inovações recentes no âmbito do SPB, como é o caso do Sistema de Pagamentos Instantâneos (SPI) e o arranjo de pagamento Pix, além dos desafios operacionais associados à cada um desses sistemas. A metodologia adotada será qualitativa, fundamentada em revisão bibliográfica e documental</w:t>
      </w:r>
      <w:r w:rsidR="00736DE8">
        <w:rPr>
          <w:rFonts w:ascii="Times New Roman" w:eastAsia="Arial" w:hAnsi="Times New Roman" w:cs="Times New Roman"/>
          <w:sz w:val="24"/>
          <w:szCs w:val="24"/>
        </w:rPr>
        <w:t>, a qual, segundo Marconi e Lakatos (1992) é o levantamento de toda a bibliografia</w:t>
      </w:r>
      <w:r w:rsidR="002726DB">
        <w:rPr>
          <w:rFonts w:ascii="Times New Roman" w:eastAsia="Arial" w:hAnsi="Times New Roman" w:cs="Times New Roman"/>
          <w:sz w:val="24"/>
          <w:szCs w:val="24"/>
        </w:rPr>
        <w:t xml:space="preserve"> já publicada, em forma de livros, revistas, publicações avulsas e imprensa escrita</w:t>
      </w:r>
      <w:r>
        <w:rPr>
          <w:rFonts w:ascii="Times New Roman" w:eastAsia="Arial" w:hAnsi="Times New Roman" w:cs="Times New Roman"/>
          <w:sz w:val="24"/>
          <w:szCs w:val="24"/>
        </w:rPr>
        <w:t>. O estudo visa contribuir para a compreensão da dinâmica entre esses dois sistemas e como sua integração contribui para a econômica brasileira.</w:t>
      </w:r>
    </w:p>
    <w:p w14:paraId="128FA439" w14:textId="77777777" w:rsidR="008A7972" w:rsidRPr="00034824" w:rsidRDefault="008A7972" w:rsidP="008A7972">
      <w:pPr>
        <w:spacing w:line="360" w:lineRule="auto"/>
        <w:jc w:val="both"/>
        <w:rPr>
          <w:rFonts w:ascii="Times New Roman" w:eastAsia="Arial" w:hAnsi="Times New Roman" w:cs="Times New Roman"/>
          <w:b/>
          <w:sz w:val="24"/>
          <w:szCs w:val="24"/>
        </w:rPr>
      </w:pPr>
    </w:p>
    <w:p w14:paraId="2B9BCC31" w14:textId="77777777" w:rsidR="008A7972" w:rsidRPr="00034824" w:rsidRDefault="008A7972" w:rsidP="008A7972">
      <w:pPr>
        <w:spacing w:line="360" w:lineRule="auto"/>
        <w:jc w:val="both"/>
        <w:rPr>
          <w:rFonts w:ascii="Times New Roman" w:eastAsia="Arial" w:hAnsi="Times New Roman" w:cs="Times New Roman"/>
          <w:sz w:val="24"/>
          <w:szCs w:val="24"/>
        </w:rPr>
      </w:pPr>
      <w:proofErr w:type="gramStart"/>
      <w:r w:rsidRPr="00034824">
        <w:rPr>
          <w:rFonts w:ascii="Times New Roman" w:eastAsia="Arial" w:hAnsi="Times New Roman" w:cs="Times New Roman"/>
          <w:b/>
          <w:sz w:val="24"/>
          <w:szCs w:val="24"/>
        </w:rPr>
        <w:t>Palavras chave</w:t>
      </w:r>
      <w:proofErr w:type="gramEnd"/>
      <w:r w:rsidRPr="00034824">
        <w:rPr>
          <w:rFonts w:ascii="Times New Roman" w:eastAsia="Arial" w:hAnsi="Times New Roman" w:cs="Times New Roman"/>
          <w:b/>
          <w:sz w:val="24"/>
          <w:szCs w:val="24"/>
        </w:rPr>
        <w:t xml:space="preserve">: </w:t>
      </w:r>
      <w:r>
        <w:rPr>
          <w:rFonts w:ascii="Times New Roman" w:eastAsia="Arial" w:hAnsi="Times New Roman" w:cs="Times New Roman"/>
          <w:sz w:val="24"/>
          <w:szCs w:val="24"/>
        </w:rPr>
        <w:t>Sistema Financeiro Nacional</w:t>
      </w:r>
      <w:r w:rsidRPr="00034824">
        <w:rPr>
          <w:rFonts w:ascii="Times New Roman" w:eastAsia="Arial" w:hAnsi="Times New Roman" w:cs="Times New Roman"/>
          <w:sz w:val="24"/>
          <w:szCs w:val="24"/>
        </w:rPr>
        <w:t xml:space="preserve">, </w:t>
      </w:r>
      <w:r>
        <w:rPr>
          <w:rFonts w:ascii="Times New Roman" w:eastAsia="Arial" w:hAnsi="Times New Roman" w:cs="Times New Roman"/>
          <w:sz w:val="24"/>
          <w:szCs w:val="24"/>
        </w:rPr>
        <w:t>Sistema de Pagamentos Brasileiro</w:t>
      </w:r>
      <w:r w:rsidRPr="00034824">
        <w:rPr>
          <w:rFonts w:ascii="Times New Roman" w:eastAsia="Arial" w:hAnsi="Times New Roman" w:cs="Times New Roman"/>
          <w:sz w:val="24"/>
          <w:szCs w:val="24"/>
        </w:rPr>
        <w:t xml:space="preserve">, </w:t>
      </w:r>
      <w:r>
        <w:rPr>
          <w:rFonts w:ascii="Times New Roman" w:eastAsia="Arial" w:hAnsi="Times New Roman" w:cs="Times New Roman"/>
          <w:sz w:val="24"/>
          <w:szCs w:val="24"/>
        </w:rPr>
        <w:t>Arranjos de Pagamento</w:t>
      </w:r>
      <w:r w:rsidRPr="00034824">
        <w:rPr>
          <w:rFonts w:ascii="Times New Roman" w:eastAsia="Arial" w:hAnsi="Times New Roman" w:cs="Times New Roman"/>
          <w:sz w:val="24"/>
          <w:szCs w:val="24"/>
        </w:rPr>
        <w:t xml:space="preserve">, </w:t>
      </w:r>
      <w:r>
        <w:rPr>
          <w:rFonts w:ascii="Times New Roman" w:eastAsia="Arial" w:hAnsi="Times New Roman" w:cs="Times New Roman"/>
          <w:sz w:val="24"/>
          <w:szCs w:val="24"/>
        </w:rPr>
        <w:t>Eficiência Econômica</w:t>
      </w:r>
      <w:r w:rsidRPr="00034824">
        <w:rPr>
          <w:rFonts w:ascii="Times New Roman" w:eastAsia="Arial" w:hAnsi="Times New Roman" w:cs="Times New Roman"/>
          <w:sz w:val="24"/>
          <w:szCs w:val="24"/>
        </w:rPr>
        <w:t>.</w:t>
      </w:r>
    </w:p>
    <w:p w14:paraId="12F53118" w14:textId="77777777" w:rsidR="008A7972" w:rsidRPr="00034824" w:rsidRDefault="008A7972" w:rsidP="008A7972">
      <w:pPr>
        <w:spacing w:line="360" w:lineRule="auto"/>
        <w:rPr>
          <w:rFonts w:ascii="Times New Roman" w:eastAsia="Arial" w:hAnsi="Times New Roman" w:cs="Times New Roman"/>
          <w:sz w:val="24"/>
          <w:szCs w:val="24"/>
          <w:highlight w:val="yellow"/>
        </w:rPr>
      </w:pPr>
      <w:r w:rsidRPr="00034824">
        <w:rPr>
          <w:rFonts w:ascii="Times New Roman" w:hAnsi="Times New Roman" w:cs="Times New Roman"/>
        </w:rPr>
        <w:br w:type="page"/>
      </w:r>
    </w:p>
    <w:p w14:paraId="63692F85" w14:textId="77777777" w:rsidR="008A7972" w:rsidRPr="00034824" w:rsidRDefault="008A7972" w:rsidP="008A7972">
      <w:pPr>
        <w:spacing w:line="360" w:lineRule="auto"/>
        <w:jc w:val="center"/>
        <w:rPr>
          <w:rFonts w:ascii="Times New Roman" w:eastAsia="Arial" w:hAnsi="Times New Roman" w:cs="Times New Roman"/>
          <w:b/>
          <w:sz w:val="24"/>
          <w:szCs w:val="24"/>
        </w:rPr>
      </w:pPr>
      <w:r w:rsidRPr="00034824">
        <w:rPr>
          <w:rFonts w:ascii="Times New Roman" w:eastAsia="Arial" w:hAnsi="Times New Roman" w:cs="Times New Roman"/>
          <w:b/>
          <w:sz w:val="24"/>
          <w:szCs w:val="24"/>
        </w:rPr>
        <w:lastRenderedPageBreak/>
        <w:t>ABSTRACT</w:t>
      </w:r>
    </w:p>
    <w:p w14:paraId="5550FE4C" w14:textId="77777777" w:rsidR="008A7972" w:rsidRPr="00034824" w:rsidRDefault="008A7972" w:rsidP="008A7972">
      <w:pPr>
        <w:spacing w:line="360" w:lineRule="auto"/>
        <w:jc w:val="both"/>
        <w:rPr>
          <w:rFonts w:ascii="Times New Roman" w:eastAsia="Arial" w:hAnsi="Times New Roman" w:cs="Times New Roman"/>
          <w:b/>
          <w:sz w:val="24"/>
          <w:szCs w:val="24"/>
        </w:rPr>
      </w:pPr>
    </w:p>
    <w:p w14:paraId="0D00DF6C" w14:textId="2332BCFC" w:rsidR="00D23FD5" w:rsidRDefault="00D23FD5" w:rsidP="008A7972">
      <w:pPr>
        <w:spacing w:line="360" w:lineRule="auto"/>
        <w:jc w:val="both"/>
        <w:rPr>
          <w:rFonts w:ascii="Times New Roman" w:eastAsia="Arial" w:hAnsi="Times New Roman" w:cs="Times New Roman"/>
          <w:sz w:val="24"/>
          <w:szCs w:val="24"/>
        </w:rPr>
      </w:pPr>
      <w:r w:rsidRPr="00D23FD5">
        <w:rPr>
          <w:rFonts w:ascii="Times New Roman" w:eastAsia="Arial" w:hAnsi="Times New Roman" w:cs="Times New Roman"/>
          <w:sz w:val="24"/>
          <w:szCs w:val="24"/>
        </w:rPr>
        <w:t xml:space="preserve">The </w:t>
      </w:r>
      <w:proofErr w:type="spellStart"/>
      <w:r w:rsidRPr="00D23FD5">
        <w:rPr>
          <w:rFonts w:ascii="Times New Roman" w:eastAsia="Arial" w:hAnsi="Times New Roman" w:cs="Times New Roman"/>
          <w:sz w:val="24"/>
          <w:szCs w:val="24"/>
        </w:rPr>
        <w:t>main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objective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this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work</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analyze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intersection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between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National</w:t>
      </w:r>
      <w:proofErr w:type="spellEnd"/>
      <w:r w:rsidRPr="00D23FD5">
        <w:rPr>
          <w:rFonts w:ascii="Times New Roman" w:eastAsia="Arial" w:hAnsi="Times New Roman" w:cs="Times New Roman"/>
          <w:sz w:val="24"/>
          <w:szCs w:val="24"/>
        </w:rPr>
        <w:t xml:space="preserve"> Financial System (SFN)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Brazilian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Payment</w:t>
      </w:r>
      <w:proofErr w:type="spellEnd"/>
      <w:r w:rsidRPr="00D23FD5">
        <w:rPr>
          <w:rFonts w:ascii="Times New Roman" w:eastAsia="Arial" w:hAnsi="Times New Roman" w:cs="Times New Roman"/>
          <w:sz w:val="24"/>
          <w:szCs w:val="24"/>
        </w:rPr>
        <w:t xml:space="preserve"> System (SPB), </w:t>
      </w:r>
      <w:proofErr w:type="spellStart"/>
      <w:r w:rsidRPr="00D23FD5">
        <w:rPr>
          <w:rFonts w:ascii="Times New Roman" w:eastAsia="Arial" w:hAnsi="Times New Roman" w:cs="Times New Roman"/>
          <w:sz w:val="24"/>
          <w:szCs w:val="24"/>
        </w:rPr>
        <w:t>established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by</w:t>
      </w:r>
      <w:proofErr w:type="spellEnd"/>
      <w:r w:rsidRPr="00D23FD5">
        <w:rPr>
          <w:rFonts w:ascii="Times New Roman" w:eastAsia="Arial" w:hAnsi="Times New Roman" w:cs="Times New Roman"/>
          <w:sz w:val="24"/>
          <w:szCs w:val="24"/>
        </w:rPr>
        <w:t xml:space="preserve"> Law N</w:t>
      </w:r>
      <w:r>
        <w:rPr>
          <w:rFonts w:ascii="Times New Roman" w:eastAsia="Arial" w:hAnsi="Times New Roman" w:cs="Times New Roman"/>
          <w:sz w:val="24"/>
          <w:szCs w:val="24"/>
        </w:rPr>
        <w:t>º</w:t>
      </w:r>
      <w:r w:rsidRPr="00D23FD5">
        <w:rPr>
          <w:rFonts w:ascii="Times New Roman" w:eastAsia="Arial" w:hAnsi="Times New Roman" w:cs="Times New Roman"/>
          <w:sz w:val="24"/>
          <w:szCs w:val="24"/>
        </w:rPr>
        <w:t>. 12</w:t>
      </w:r>
      <w:r>
        <w:rPr>
          <w:rFonts w:ascii="Times New Roman" w:eastAsia="Arial" w:hAnsi="Times New Roman" w:cs="Times New Roman"/>
          <w:sz w:val="24"/>
          <w:szCs w:val="24"/>
        </w:rPr>
        <w:t>.</w:t>
      </w:r>
      <w:r w:rsidRPr="00D23FD5">
        <w:rPr>
          <w:rFonts w:ascii="Times New Roman" w:eastAsia="Arial" w:hAnsi="Times New Roman" w:cs="Times New Roman"/>
          <w:sz w:val="24"/>
          <w:szCs w:val="24"/>
        </w:rPr>
        <w:t xml:space="preserve">865/2013, </w:t>
      </w:r>
      <w:proofErr w:type="spellStart"/>
      <w:r w:rsidRPr="00D23FD5">
        <w:rPr>
          <w:rFonts w:ascii="Times New Roman" w:eastAsia="Arial" w:hAnsi="Times New Roman" w:cs="Times New Roman"/>
          <w:sz w:val="24"/>
          <w:szCs w:val="24"/>
        </w:rPr>
        <w:t>highlighting</w:t>
      </w:r>
      <w:proofErr w:type="spellEnd"/>
      <w:r w:rsidRPr="00D23FD5">
        <w:rPr>
          <w:rFonts w:ascii="Times New Roman" w:eastAsia="Arial" w:hAnsi="Times New Roman" w:cs="Times New Roman"/>
          <w:sz w:val="24"/>
          <w:szCs w:val="24"/>
        </w:rPr>
        <w:t xml:space="preserve"> its </w:t>
      </w:r>
      <w:proofErr w:type="spellStart"/>
      <w:r w:rsidRPr="00D23FD5">
        <w:rPr>
          <w:rFonts w:ascii="Times New Roman" w:eastAsia="Arial" w:hAnsi="Times New Roman" w:cs="Times New Roman"/>
          <w:sz w:val="24"/>
          <w:szCs w:val="24"/>
        </w:rPr>
        <w:t>main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structural</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functional</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characteristics</w:t>
      </w:r>
      <w:proofErr w:type="spellEnd"/>
      <w:r w:rsidRPr="00D23FD5">
        <w:rPr>
          <w:rFonts w:ascii="Times New Roman" w:eastAsia="Arial" w:hAnsi="Times New Roman" w:cs="Times New Roman"/>
          <w:sz w:val="24"/>
          <w:szCs w:val="24"/>
        </w:rPr>
        <w:t xml:space="preserve">, as </w:t>
      </w:r>
      <w:proofErr w:type="spellStart"/>
      <w:r w:rsidRPr="00D23FD5">
        <w:rPr>
          <w:rFonts w:ascii="Times New Roman" w:eastAsia="Arial" w:hAnsi="Times New Roman" w:cs="Times New Roman"/>
          <w:sz w:val="24"/>
          <w:szCs w:val="24"/>
        </w:rPr>
        <w:t>well</w:t>
      </w:r>
      <w:proofErr w:type="spellEnd"/>
      <w:r w:rsidRPr="00D23FD5">
        <w:rPr>
          <w:rFonts w:ascii="Times New Roman" w:eastAsia="Arial" w:hAnsi="Times New Roman" w:cs="Times New Roman"/>
          <w:sz w:val="24"/>
          <w:szCs w:val="24"/>
        </w:rPr>
        <w:t xml:space="preserve"> as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strategic</w:t>
      </w:r>
      <w:proofErr w:type="spellEnd"/>
      <w:r w:rsidRPr="00D23FD5">
        <w:rPr>
          <w:rFonts w:ascii="Times New Roman" w:eastAsia="Arial" w:hAnsi="Times New Roman" w:cs="Times New Roman"/>
          <w:sz w:val="24"/>
          <w:szCs w:val="24"/>
        </w:rPr>
        <w:t xml:space="preserve"> role </w:t>
      </w:r>
      <w:proofErr w:type="spellStart"/>
      <w:r w:rsidRPr="00D23FD5">
        <w:rPr>
          <w:rFonts w:ascii="Times New Roman" w:eastAsia="Arial" w:hAnsi="Times New Roman" w:cs="Times New Roman"/>
          <w:sz w:val="24"/>
          <w:szCs w:val="24"/>
        </w:rPr>
        <w:t>that</w:t>
      </w:r>
      <w:proofErr w:type="spellEnd"/>
      <w:r w:rsidRPr="00D23FD5">
        <w:rPr>
          <w:rFonts w:ascii="Times New Roman" w:eastAsia="Arial" w:hAnsi="Times New Roman" w:cs="Times New Roman"/>
          <w:sz w:val="24"/>
          <w:szCs w:val="24"/>
        </w:rPr>
        <w:t xml:space="preserve"> its </w:t>
      </w:r>
      <w:proofErr w:type="spellStart"/>
      <w:r w:rsidRPr="00D23FD5">
        <w:rPr>
          <w:rFonts w:ascii="Times New Roman" w:eastAsia="Arial" w:hAnsi="Times New Roman" w:cs="Times New Roman"/>
          <w:sz w:val="24"/>
          <w:szCs w:val="24"/>
        </w:rPr>
        <w:t>synergy</w:t>
      </w:r>
      <w:proofErr w:type="spellEnd"/>
      <w:r w:rsidRPr="00D23FD5">
        <w:rPr>
          <w:rFonts w:ascii="Times New Roman" w:eastAsia="Arial" w:hAnsi="Times New Roman" w:cs="Times New Roman"/>
          <w:sz w:val="24"/>
          <w:szCs w:val="24"/>
        </w:rPr>
        <w:t xml:space="preserve"> plays in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economic</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efficiency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country. </w:t>
      </w:r>
      <w:proofErr w:type="spellStart"/>
      <w:r w:rsidRPr="00D23FD5">
        <w:rPr>
          <w:rFonts w:ascii="Times New Roman" w:eastAsia="Arial" w:hAnsi="Times New Roman" w:cs="Times New Roman"/>
          <w:sz w:val="24"/>
          <w:szCs w:val="24"/>
        </w:rPr>
        <w:t>While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SFN </w:t>
      </w:r>
      <w:proofErr w:type="spellStart"/>
      <w:r w:rsidRPr="00D23FD5">
        <w:rPr>
          <w:rFonts w:ascii="Times New Roman" w:eastAsia="Arial" w:hAnsi="Times New Roman" w:cs="Times New Roman"/>
          <w:sz w:val="24"/>
          <w:szCs w:val="24"/>
        </w:rPr>
        <w:t>is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responsible</w:t>
      </w:r>
      <w:proofErr w:type="spellEnd"/>
      <w:r w:rsidRPr="00D23FD5">
        <w:rPr>
          <w:rFonts w:ascii="Times New Roman" w:eastAsia="Arial" w:hAnsi="Times New Roman" w:cs="Times New Roman"/>
          <w:sz w:val="24"/>
          <w:szCs w:val="24"/>
        </w:rPr>
        <w:t xml:space="preserve"> for </w:t>
      </w:r>
      <w:proofErr w:type="spellStart"/>
      <w:r w:rsidRPr="00D23FD5">
        <w:rPr>
          <w:rFonts w:ascii="Times New Roman" w:eastAsia="Arial" w:hAnsi="Times New Roman" w:cs="Times New Roman"/>
          <w:sz w:val="24"/>
          <w:szCs w:val="24"/>
        </w:rPr>
        <w:t>regulating</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supervising</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activities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related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currency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credit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foreign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exchange</w:t>
      </w:r>
      <w:proofErr w:type="spellEnd"/>
      <w:r w:rsidRPr="00D23FD5">
        <w:rPr>
          <w:rFonts w:ascii="Times New Roman" w:eastAsia="Arial" w:hAnsi="Times New Roman" w:cs="Times New Roman"/>
          <w:sz w:val="24"/>
          <w:szCs w:val="24"/>
        </w:rPr>
        <w:t xml:space="preserve">, capital, </w:t>
      </w:r>
      <w:proofErr w:type="spellStart"/>
      <w:r w:rsidRPr="00D23FD5">
        <w:rPr>
          <w:rFonts w:ascii="Times New Roman" w:eastAsia="Arial" w:hAnsi="Times New Roman" w:cs="Times New Roman"/>
          <w:sz w:val="24"/>
          <w:szCs w:val="24"/>
        </w:rPr>
        <w:t>private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insurance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closed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pensions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SPB </w:t>
      </w:r>
      <w:proofErr w:type="spellStart"/>
      <w:r w:rsidRPr="00D23FD5">
        <w:rPr>
          <w:rFonts w:ascii="Times New Roman" w:eastAsia="Arial" w:hAnsi="Times New Roman" w:cs="Times New Roman"/>
          <w:sz w:val="24"/>
          <w:szCs w:val="24"/>
        </w:rPr>
        <w:t>encompasses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payment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arrangements</w:t>
      </w:r>
      <w:proofErr w:type="spellEnd"/>
      <w:r w:rsidRPr="00D23FD5">
        <w:rPr>
          <w:rFonts w:ascii="Times New Roman" w:eastAsia="Arial" w:hAnsi="Times New Roman" w:cs="Times New Roman"/>
          <w:sz w:val="24"/>
          <w:szCs w:val="24"/>
        </w:rPr>
        <w:t xml:space="preserve"> (AP)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financial </w:t>
      </w:r>
      <w:proofErr w:type="spellStart"/>
      <w:r w:rsidRPr="00D23FD5">
        <w:rPr>
          <w:rFonts w:ascii="Times New Roman" w:eastAsia="Arial" w:hAnsi="Times New Roman" w:cs="Times New Roman"/>
          <w:sz w:val="24"/>
          <w:szCs w:val="24"/>
        </w:rPr>
        <w:t>market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infrastructures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MFIs</w:t>
      </w:r>
      <w:proofErr w:type="spellEnd"/>
      <w:r w:rsidRPr="00D23FD5">
        <w:rPr>
          <w:rFonts w:ascii="Times New Roman" w:eastAsia="Arial" w:hAnsi="Times New Roman" w:cs="Times New Roman"/>
          <w:sz w:val="24"/>
          <w:szCs w:val="24"/>
        </w:rPr>
        <w:t xml:space="preserve">). The </w:t>
      </w:r>
      <w:proofErr w:type="spellStart"/>
      <w:r w:rsidRPr="00D23FD5">
        <w:rPr>
          <w:rFonts w:ascii="Times New Roman" w:eastAsia="Arial" w:hAnsi="Times New Roman" w:cs="Times New Roman"/>
          <w:sz w:val="24"/>
          <w:szCs w:val="24"/>
        </w:rPr>
        <w:t>research</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based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premise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that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despite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having</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different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scopes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these</w:t>
      </w:r>
      <w:proofErr w:type="spellEnd"/>
      <w:r w:rsidRPr="00D23FD5">
        <w:rPr>
          <w:rFonts w:ascii="Times New Roman" w:eastAsia="Arial" w:hAnsi="Times New Roman" w:cs="Times New Roman"/>
          <w:sz w:val="24"/>
          <w:szCs w:val="24"/>
        </w:rPr>
        <w:t xml:space="preserve"> systems </w:t>
      </w:r>
      <w:proofErr w:type="spellStart"/>
      <w:r w:rsidRPr="00D23FD5">
        <w:rPr>
          <w:rFonts w:ascii="Times New Roman" w:eastAsia="Arial" w:hAnsi="Times New Roman" w:cs="Times New Roman"/>
          <w:sz w:val="24"/>
          <w:szCs w:val="24"/>
        </w:rPr>
        <w:t>operate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synergistically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through</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payments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interbank</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transfers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execution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monetary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policy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among</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other</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mechanisms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that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contribute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economic</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efficiency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financial </w:t>
      </w:r>
      <w:proofErr w:type="spellStart"/>
      <w:r w:rsidRPr="00D23FD5">
        <w:rPr>
          <w:rFonts w:ascii="Times New Roman" w:eastAsia="Arial" w:hAnsi="Times New Roman" w:cs="Times New Roman"/>
          <w:sz w:val="24"/>
          <w:szCs w:val="24"/>
        </w:rPr>
        <w:t>stability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country. In </w:t>
      </w:r>
      <w:proofErr w:type="spellStart"/>
      <w:r w:rsidRPr="00D23FD5">
        <w:rPr>
          <w:rFonts w:ascii="Times New Roman" w:eastAsia="Arial" w:hAnsi="Times New Roman" w:cs="Times New Roman"/>
          <w:sz w:val="24"/>
          <w:szCs w:val="24"/>
        </w:rPr>
        <w:t>this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sense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recent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innovations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within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scope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SPB </w:t>
      </w:r>
      <w:proofErr w:type="spellStart"/>
      <w:r w:rsidRPr="00D23FD5">
        <w:rPr>
          <w:rFonts w:ascii="Times New Roman" w:eastAsia="Arial" w:hAnsi="Times New Roman" w:cs="Times New Roman"/>
          <w:sz w:val="24"/>
          <w:szCs w:val="24"/>
        </w:rPr>
        <w:t>will</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addressed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such</w:t>
      </w:r>
      <w:proofErr w:type="spellEnd"/>
      <w:r w:rsidRPr="00D23FD5">
        <w:rPr>
          <w:rFonts w:ascii="Times New Roman" w:eastAsia="Arial" w:hAnsi="Times New Roman" w:cs="Times New Roman"/>
          <w:sz w:val="24"/>
          <w:szCs w:val="24"/>
        </w:rPr>
        <w:t xml:space="preserve"> as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Instant </w:t>
      </w:r>
      <w:proofErr w:type="spellStart"/>
      <w:r w:rsidRPr="00D23FD5">
        <w:rPr>
          <w:rFonts w:ascii="Times New Roman" w:eastAsia="Arial" w:hAnsi="Times New Roman" w:cs="Times New Roman"/>
          <w:sz w:val="24"/>
          <w:szCs w:val="24"/>
        </w:rPr>
        <w:t>Payment</w:t>
      </w:r>
      <w:proofErr w:type="spellEnd"/>
      <w:r w:rsidRPr="00D23FD5">
        <w:rPr>
          <w:rFonts w:ascii="Times New Roman" w:eastAsia="Arial" w:hAnsi="Times New Roman" w:cs="Times New Roman"/>
          <w:sz w:val="24"/>
          <w:szCs w:val="24"/>
        </w:rPr>
        <w:t xml:space="preserve"> System (SPI)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Pix </w:t>
      </w:r>
      <w:proofErr w:type="spellStart"/>
      <w:r w:rsidRPr="00D23FD5">
        <w:rPr>
          <w:rFonts w:ascii="Times New Roman" w:eastAsia="Arial" w:hAnsi="Times New Roman" w:cs="Times New Roman"/>
          <w:sz w:val="24"/>
          <w:szCs w:val="24"/>
        </w:rPr>
        <w:t>payment</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arrangement</w:t>
      </w:r>
      <w:proofErr w:type="spellEnd"/>
      <w:r w:rsidRPr="00D23FD5">
        <w:rPr>
          <w:rFonts w:ascii="Times New Roman" w:eastAsia="Arial" w:hAnsi="Times New Roman" w:cs="Times New Roman"/>
          <w:sz w:val="24"/>
          <w:szCs w:val="24"/>
        </w:rPr>
        <w:t xml:space="preserve">, in </w:t>
      </w:r>
      <w:proofErr w:type="spellStart"/>
      <w:r w:rsidRPr="00D23FD5">
        <w:rPr>
          <w:rFonts w:ascii="Times New Roman" w:eastAsia="Arial" w:hAnsi="Times New Roman" w:cs="Times New Roman"/>
          <w:sz w:val="24"/>
          <w:szCs w:val="24"/>
        </w:rPr>
        <w:t>addition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operational</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challenges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associated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with</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each</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these</w:t>
      </w:r>
      <w:proofErr w:type="spellEnd"/>
      <w:r w:rsidRPr="00D23FD5">
        <w:rPr>
          <w:rFonts w:ascii="Times New Roman" w:eastAsia="Arial" w:hAnsi="Times New Roman" w:cs="Times New Roman"/>
          <w:sz w:val="24"/>
          <w:szCs w:val="24"/>
        </w:rPr>
        <w:t xml:space="preserve"> systems. The </w:t>
      </w:r>
      <w:proofErr w:type="spellStart"/>
      <w:r w:rsidRPr="00D23FD5">
        <w:rPr>
          <w:rFonts w:ascii="Times New Roman" w:eastAsia="Arial" w:hAnsi="Times New Roman" w:cs="Times New Roman"/>
          <w:sz w:val="24"/>
          <w:szCs w:val="24"/>
        </w:rPr>
        <w:t>methodology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adopted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will</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qualitative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based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bibliographic</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documentary</w:t>
      </w:r>
      <w:proofErr w:type="spellEnd"/>
      <w:r w:rsidRPr="00D23FD5">
        <w:rPr>
          <w:rFonts w:ascii="Times New Roman" w:eastAsia="Arial" w:hAnsi="Times New Roman" w:cs="Times New Roman"/>
          <w:sz w:val="24"/>
          <w:szCs w:val="24"/>
        </w:rPr>
        <w:t xml:space="preserve"> review, </w:t>
      </w:r>
      <w:proofErr w:type="spellStart"/>
      <w:r w:rsidRPr="00D23FD5">
        <w:rPr>
          <w:rFonts w:ascii="Times New Roman" w:eastAsia="Arial" w:hAnsi="Times New Roman" w:cs="Times New Roman"/>
          <w:sz w:val="24"/>
          <w:szCs w:val="24"/>
        </w:rPr>
        <w:t>which</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according</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Marconi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Lakatos (1992) </w:t>
      </w:r>
      <w:proofErr w:type="spellStart"/>
      <w:r w:rsidRPr="00D23FD5">
        <w:rPr>
          <w:rFonts w:ascii="Times New Roman" w:eastAsia="Arial" w:hAnsi="Times New Roman" w:cs="Times New Roman"/>
          <w:sz w:val="24"/>
          <w:szCs w:val="24"/>
        </w:rPr>
        <w:t>is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survey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all</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bibliography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already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published</w:t>
      </w:r>
      <w:proofErr w:type="spellEnd"/>
      <w:r w:rsidRPr="00D23FD5">
        <w:rPr>
          <w:rFonts w:ascii="Times New Roman" w:eastAsia="Arial" w:hAnsi="Times New Roman" w:cs="Times New Roman"/>
          <w:sz w:val="24"/>
          <w:szCs w:val="24"/>
        </w:rPr>
        <w:t xml:space="preserve">, in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form</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books, magazines, single </w:t>
      </w:r>
      <w:proofErr w:type="spellStart"/>
      <w:r w:rsidRPr="00D23FD5">
        <w:rPr>
          <w:rFonts w:ascii="Times New Roman" w:eastAsia="Arial" w:hAnsi="Times New Roman" w:cs="Times New Roman"/>
          <w:sz w:val="24"/>
          <w:szCs w:val="24"/>
        </w:rPr>
        <w:t>publications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written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press</w:t>
      </w:r>
      <w:proofErr w:type="spellEnd"/>
      <w:r w:rsidRPr="00D23FD5">
        <w:rPr>
          <w:rFonts w:ascii="Times New Roman" w:eastAsia="Arial" w:hAnsi="Times New Roman" w:cs="Times New Roman"/>
          <w:sz w:val="24"/>
          <w:szCs w:val="24"/>
        </w:rPr>
        <w:t xml:space="preserve">. The </w:t>
      </w:r>
      <w:proofErr w:type="spellStart"/>
      <w:r w:rsidRPr="00D23FD5">
        <w:rPr>
          <w:rFonts w:ascii="Times New Roman" w:eastAsia="Arial" w:hAnsi="Times New Roman" w:cs="Times New Roman"/>
          <w:sz w:val="24"/>
          <w:szCs w:val="24"/>
        </w:rPr>
        <w:t>study</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aims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contribute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understanding</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of</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dynamics </w:t>
      </w:r>
      <w:proofErr w:type="spellStart"/>
      <w:r w:rsidRPr="00D23FD5">
        <w:rPr>
          <w:rFonts w:ascii="Times New Roman" w:eastAsia="Arial" w:hAnsi="Times New Roman" w:cs="Times New Roman"/>
          <w:sz w:val="24"/>
          <w:szCs w:val="24"/>
        </w:rPr>
        <w:t>between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these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two</w:t>
      </w:r>
      <w:proofErr w:type="spellEnd"/>
      <w:r w:rsidRPr="00D23FD5">
        <w:rPr>
          <w:rFonts w:ascii="Times New Roman" w:eastAsia="Arial" w:hAnsi="Times New Roman" w:cs="Times New Roman"/>
          <w:sz w:val="24"/>
          <w:szCs w:val="24"/>
        </w:rPr>
        <w:t xml:space="preserve"> systems </w:t>
      </w:r>
      <w:proofErr w:type="spellStart"/>
      <w:r w:rsidRPr="00D23FD5">
        <w:rPr>
          <w:rFonts w:ascii="Times New Roman" w:eastAsia="Arial" w:hAnsi="Times New Roman" w:cs="Times New Roman"/>
          <w:sz w:val="24"/>
          <w:szCs w:val="24"/>
        </w:rPr>
        <w:t>and</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how</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their</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integration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contributes</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to</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the</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Brazilian</w:t>
      </w:r>
      <w:proofErr w:type="spellEnd"/>
      <w:r w:rsidRPr="00D23FD5">
        <w:rPr>
          <w:rFonts w:ascii="Times New Roman" w:eastAsia="Arial" w:hAnsi="Times New Roman" w:cs="Times New Roman"/>
          <w:sz w:val="24"/>
          <w:szCs w:val="24"/>
        </w:rPr>
        <w:t xml:space="preserve"> </w:t>
      </w:r>
      <w:proofErr w:type="spellStart"/>
      <w:r w:rsidRPr="00D23FD5">
        <w:rPr>
          <w:rFonts w:ascii="Times New Roman" w:eastAsia="Arial" w:hAnsi="Times New Roman" w:cs="Times New Roman"/>
          <w:sz w:val="24"/>
          <w:szCs w:val="24"/>
        </w:rPr>
        <w:t>economy</w:t>
      </w:r>
      <w:proofErr w:type="spellEnd"/>
      <w:r w:rsidRPr="00D23FD5">
        <w:rPr>
          <w:rFonts w:ascii="Times New Roman" w:eastAsia="Arial" w:hAnsi="Times New Roman" w:cs="Times New Roman"/>
          <w:sz w:val="24"/>
          <w:szCs w:val="24"/>
        </w:rPr>
        <w:t>.</w:t>
      </w:r>
    </w:p>
    <w:p w14:paraId="7C7846C6" w14:textId="77777777" w:rsidR="00D23FD5" w:rsidRDefault="00D23FD5" w:rsidP="008A7972">
      <w:pPr>
        <w:spacing w:line="360" w:lineRule="auto"/>
        <w:jc w:val="both"/>
        <w:rPr>
          <w:rFonts w:ascii="Times New Roman" w:eastAsia="Arial" w:hAnsi="Times New Roman" w:cs="Times New Roman"/>
          <w:sz w:val="24"/>
          <w:szCs w:val="24"/>
        </w:rPr>
      </w:pPr>
    </w:p>
    <w:p w14:paraId="38BFB27B" w14:textId="7587F96A" w:rsidR="008A7972" w:rsidRPr="00034824" w:rsidRDefault="008A7972" w:rsidP="008A7972">
      <w:pPr>
        <w:spacing w:line="360" w:lineRule="auto"/>
        <w:jc w:val="both"/>
        <w:rPr>
          <w:rFonts w:ascii="Times New Roman" w:eastAsia="Arial" w:hAnsi="Times New Roman" w:cs="Times New Roman"/>
          <w:sz w:val="24"/>
          <w:szCs w:val="24"/>
        </w:rPr>
      </w:pPr>
      <w:r w:rsidRPr="00034824">
        <w:rPr>
          <w:rFonts w:ascii="Times New Roman" w:eastAsia="Arial" w:hAnsi="Times New Roman" w:cs="Times New Roman"/>
          <w:b/>
          <w:sz w:val="24"/>
          <w:szCs w:val="24"/>
        </w:rPr>
        <w:t xml:space="preserve">Keywords: </w:t>
      </w:r>
      <w:proofErr w:type="spellStart"/>
      <w:r>
        <w:rPr>
          <w:rFonts w:ascii="Times New Roman" w:eastAsia="Arial" w:hAnsi="Times New Roman" w:cs="Times New Roman"/>
          <w:sz w:val="24"/>
          <w:szCs w:val="24"/>
        </w:rPr>
        <w:t>National</w:t>
      </w:r>
      <w:proofErr w:type="spellEnd"/>
      <w:r>
        <w:rPr>
          <w:rFonts w:ascii="Times New Roman" w:eastAsia="Arial" w:hAnsi="Times New Roman" w:cs="Times New Roman"/>
          <w:sz w:val="24"/>
          <w:szCs w:val="24"/>
        </w:rPr>
        <w:t xml:space="preserve"> Financial System, </w:t>
      </w:r>
      <w:proofErr w:type="spellStart"/>
      <w:r>
        <w:rPr>
          <w:rFonts w:ascii="Times New Roman" w:eastAsia="Arial" w:hAnsi="Times New Roman" w:cs="Times New Roman"/>
          <w:sz w:val="24"/>
          <w:szCs w:val="24"/>
        </w:rPr>
        <w:t>Brazilian</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Payment</w:t>
      </w:r>
      <w:proofErr w:type="spellEnd"/>
      <w:r>
        <w:rPr>
          <w:rFonts w:ascii="Times New Roman" w:eastAsia="Arial" w:hAnsi="Times New Roman" w:cs="Times New Roman"/>
          <w:sz w:val="24"/>
          <w:szCs w:val="24"/>
        </w:rPr>
        <w:t xml:space="preserve"> System, </w:t>
      </w:r>
      <w:proofErr w:type="spellStart"/>
      <w:r>
        <w:rPr>
          <w:rFonts w:ascii="Times New Roman" w:eastAsia="Arial" w:hAnsi="Times New Roman" w:cs="Times New Roman"/>
          <w:sz w:val="24"/>
          <w:szCs w:val="24"/>
        </w:rPr>
        <w:t>Payment</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Arrangements</w:t>
      </w:r>
      <w:proofErr w:type="spellEnd"/>
      <w:r>
        <w:rPr>
          <w:rFonts w:ascii="Times New Roman" w:eastAsia="Arial" w:hAnsi="Times New Roman" w:cs="Times New Roman"/>
          <w:sz w:val="24"/>
          <w:szCs w:val="24"/>
        </w:rPr>
        <w:t xml:space="preserve">, Economic </w:t>
      </w:r>
      <w:proofErr w:type="spellStart"/>
      <w:r>
        <w:rPr>
          <w:rFonts w:ascii="Times New Roman" w:eastAsia="Arial" w:hAnsi="Times New Roman" w:cs="Times New Roman"/>
          <w:sz w:val="24"/>
          <w:szCs w:val="24"/>
        </w:rPr>
        <w:t>Efficiency</w:t>
      </w:r>
      <w:proofErr w:type="spellEnd"/>
      <w:r>
        <w:rPr>
          <w:rFonts w:ascii="Times New Roman" w:eastAsia="Arial" w:hAnsi="Times New Roman" w:cs="Times New Roman"/>
          <w:sz w:val="24"/>
          <w:szCs w:val="24"/>
        </w:rPr>
        <w:t>.</w:t>
      </w:r>
    </w:p>
    <w:p w14:paraId="2D2EE26A" w14:textId="77777777" w:rsidR="008A7972" w:rsidRPr="00034824" w:rsidRDefault="008A7972" w:rsidP="008A7972">
      <w:pPr>
        <w:spacing w:line="360" w:lineRule="auto"/>
        <w:rPr>
          <w:rFonts w:ascii="Times New Roman" w:eastAsia="Arial" w:hAnsi="Times New Roman" w:cs="Times New Roman"/>
          <w:sz w:val="24"/>
          <w:szCs w:val="24"/>
          <w:highlight w:val="yellow"/>
        </w:rPr>
      </w:pPr>
      <w:r w:rsidRPr="00034824">
        <w:rPr>
          <w:rFonts w:ascii="Times New Roman" w:hAnsi="Times New Roman" w:cs="Times New Roman"/>
        </w:rPr>
        <w:br w:type="page"/>
      </w:r>
    </w:p>
    <w:p w14:paraId="7AB0CC27" w14:textId="25702677" w:rsidR="008A7972" w:rsidRPr="00034824" w:rsidRDefault="008A7972" w:rsidP="008A7972">
      <w:pPr>
        <w:spacing w:after="0" w:line="360" w:lineRule="auto"/>
        <w:jc w:val="center"/>
        <w:rPr>
          <w:rFonts w:ascii="Times New Roman" w:eastAsia="Arial" w:hAnsi="Times New Roman" w:cs="Times New Roman"/>
          <w:b/>
          <w:sz w:val="24"/>
          <w:szCs w:val="24"/>
        </w:rPr>
      </w:pPr>
      <w:bookmarkStart w:id="1" w:name="_tzadokvr243c" w:colFirst="0" w:colLast="0"/>
      <w:bookmarkEnd w:id="1"/>
      <w:r w:rsidRPr="00034824">
        <w:rPr>
          <w:rFonts w:ascii="Times New Roman" w:eastAsia="Arial" w:hAnsi="Times New Roman" w:cs="Times New Roman"/>
          <w:b/>
          <w:sz w:val="24"/>
          <w:szCs w:val="24"/>
        </w:rPr>
        <w:lastRenderedPageBreak/>
        <w:t>LISTA DE ILUSTRAÇÕES</w:t>
      </w:r>
    </w:p>
    <w:p w14:paraId="6B94F797" w14:textId="77777777" w:rsidR="008A7972" w:rsidRPr="00034824" w:rsidRDefault="008A7972" w:rsidP="008A7972">
      <w:pPr>
        <w:spacing w:after="0" w:line="360" w:lineRule="auto"/>
        <w:jc w:val="center"/>
        <w:rPr>
          <w:rFonts w:ascii="Times New Roman" w:eastAsia="Arial" w:hAnsi="Times New Roman" w:cs="Times New Roman"/>
          <w:b/>
          <w:sz w:val="24"/>
          <w:szCs w:val="24"/>
        </w:rPr>
      </w:pPr>
    </w:p>
    <w:p w14:paraId="7DBD8D20" w14:textId="6E0AC5AB" w:rsidR="008A7972" w:rsidRPr="00EE7254" w:rsidRDefault="008A7972" w:rsidP="00EE7254">
      <w:pPr>
        <w:spacing w:after="0" w:line="360" w:lineRule="auto"/>
        <w:jc w:val="both"/>
        <w:rPr>
          <w:rFonts w:ascii="Times New Roman" w:eastAsia="Arial" w:hAnsi="Times New Roman" w:cs="Times New Roman"/>
          <w:sz w:val="24"/>
          <w:szCs w:val="24"/>
        </w:rPr>
      </w:pPr>
      <w:bookmarkStart w:id="2" w:name="_fe7chqjmpmgd" w:colFirst="0" w:colLast="0"/>
      <w:bookmarkEnd w:id="2"/>
      <w:r w:rsidRPr="00034824">
        <w:rPr>
          <w:rFonts w:ascii="Times New Roman" w:eastAsia="Arial" w:hAnsi="Times New Roman" w:cs="Times New Roman"/>
          <w:sz w:val="24"/>
          <w:szCs w:val="24"/>
        </w:rPr>
        <w:t xml:space="preserve">Figura 1- </w:t>
      </w:r>
      <w:r w:rsidR="00C03002" w:rsidRPr="0028054C">
        <w:rPr>
          <w:rFonts w:ascii="Times New Roman" w:eastAsia="Arial" w:hAnsi="Times New Roman" w:cs="Times New Roman"/>
          <w:b/>
          <w:bCs/>
          <w:sz w:val="24"/>
          <w:szCs w:val="24"/>
        </w:rPr>
        <w:t>Entidades Reguladoras, Supervisoras e Operadoras</w:t>
      </w:r>
      <w:r w:rsidR="00C03002">
        <w:rPr>
          <w:rFonts w:ascii="Times New Roman" w:eastAsia="Arial" w:hAnsi="Times New Roman" w:cs="Times New Roman"/>
          <w:sz w:val="24"/>
          <w:szCs w:val="24"/>
        </w:rPr>
        <w:t xml:space="preserve">. Disponível em: </w:t>
      </w:r>
      <w:hyperlink r:id="rId8" w:history="1">
        <w:r w:rsidR="0028054C" w:rsidRPr="00020441">
          <w:rPr>
            <w:rStyle w:val="Hyperlink"/>
            <w:rFonts w:ascii="Times New Roman" w:eastAsia="Arial" w:hAnsi="Times New Roman" w:cs="Times New Roman"/>
            <w:sz w:val="24"/>
            <w:szCs w:val="24"/>
          </w:rPr>
          <w:t>https://www.bcb.gov.br/estabilidadefinanceira/spb</w:t>
        </w:r>
      </w:hyperlink>
      <w:r w:rsidR="0028054C">
        <w:rPr>
          <w:rFonts w:ascii="Times New Roman" w:eastAsia="Arial" w:hAnsi="Times New Roman" w:cs="Times New Roman"/>
          <w:sz w:val="24"/>
          <w:szCs w:val="24"/>
        </w:rPr>
        <w:t>. Acesso em 20 de abril de 2025.</w:t>
      </w:r>
      <w:r w:rsidRPr="00034824">
        <w:rPr>
          <w:rFonts w:ascii="Times New Roman" w:hAnsi="Times New Roman" w:cs="Times New Roman"/>
        </w:rPr>
        <w:br w:type="page"/>
      </w:r>
    </w:p>
    <w:p w14:paraId="6BDBF983" w14:textId="77777777" w:rsidR="008A7972" w:rsidRPr="00034824" w:rsidRDefault="008A7972" w:rsidP="008A7972">
      <w:pPr>
        <w:spacing w:after="0" w:line="360" w:lineRule="auto"/>
        <w:jc w:val="center"/>
        <w:rPr>
          <w:rFonts w:ascii="Times New Roman" w:eastAsia="Arial" w:hAnsi="Times New Roman" w:cs="Times New Roman"/>
          <w:b/>
          <w:sz w:val="24"/>
          <w:szCs w:val="24"/>
        </w:rPr>
      </w:pPr>
      <w:r w:rsidRPr="00034824">
        <w:rPr>
          <w:rFonts w:ascii="Times New Roman" w:eastAsia="Arial" w:hAnsi="Times New Roman" w:cs="Times New Roman"/>
          <w:b/>
          <w:sz w:val="24"/>
          <w:szCs w:val="24"/>
        </w:rPr>
        <w:lastRenderedPageBreak/>
        <w:t>LISTA DE TABELAS</w:t>
      </w:r>
    </w:p>
    <w:p w14:paraId="70FFFE37" w14:textId="77777777" w:rsidR="008A7972" w:rsidRPr="00034824" w:rsidRDefault="008A7972" w:rsidP="008A7972">
      <w:pPr>
        <w:spacing w:after="0" w:line="360" w:lineRule="auto"/>
        <w:jc w:val="both"/>
        <w:rPr>
          <w:rFonts w:ascii="Times New Roman" w:eastAsia="Arial" w:hAnsi="Times New Roman" w:cs="Times New Roman"/>
          <w:sz w:val="24"/>
          <w:szCs w:val="24"/>
        </w:rPr>
      </w:pPr>
    </w:p>
    <w:p w14:paraId="01B3ED68" w14:textId="07FED8BE" w:rsidR="00037E61" w:rsidRDefault="008A7972" w:rsidP="00037E61">
      <w:pPr>
        <w:spacing w:after="0" w:line="276" w:lineRule="auto"/>
        <w:jc w:val="both"/>
        <w:rPr>
          <w:rFonts w:ascii="Times New Roman" w:eastAsia="Arial" w:hAnsi="Times New Roman" w:cs="Times New Roman"/>
          <w:bCs/>
          <w:sz w:val="24"/>
          <w:szCs w:val="24"/>
        </w:rPr>
      </w:pPr>
      <w:r w:rsidRPr="00034824">
        <w:rPr>
          <w:rFonts w:ascii="Times New Roman" w:eastAsia="Arial" w:hAnsi="Times New Roman" w:cs="Times New Roman"/>
          <w:sz w:val="24"/>
          <w:szCs w:val="24"/>
        </w:rPr>
        <w:t xml:space="preserve">Tabela 1- </w:t>
      </w:r>
      <w:r w:rsidR="001B25E0">
        <w:rPr>
          <w:rFonts w:ascii="Times New Roman" w:eastAsia="Arial" w:hAnsi="Times New Roman" w:cs="Times New Roman"/>
          <w:sz w:val="24"/>
          <w:szCs w:val="24"/>
        </w:rPr>
        <w:t xml:space="preserve">Modalidade de Instituições de Pagamento. </w:t>
      </w:r>
      <w:r w:rsidR="00037E61">
        <w:rPr>
          <w:rFonts w:ascii="Times New Roman" w:eastAsia="Arial" w:hAnsi="Times New Roman" w:cs="Times New Roman"/>
          <w:sz w:val="24"/>
          <w:szCs w:val="24"/>
        </w:rPr>
        <w:t xml:space="preserve">Elaborada por </w:t>
      </w:r>
      <w:r w:rsidR="00037E61" w:rsidRPr="008A7972">
        <w:rPr>
          <w:rFonts w:ascii="Times New Roman" w:eastAsia="Arial" w:hAnsi="Times New Roman" w:cs="Times New Roman"/>
          <w:bCs/>
          <w:sz w:val="24"/>
          <w:szCs w:val="24"/>
        </w:rPr>
        <w:t xml:space="preserve">COHEN, Gabriel Schvartzman. </w:t>
      </w:r>
      <w:r w:rsidR="00037E61" w:rsidRPr="008A7972">
        <w:rPr>
          <w:rFonts w:ascii="Times New Roman" w:eastAsia="Arial" w:hAnsi="Times New Roman" w:cs="Times New Roman"/>
          <w:b/>
          <w:sz w:val="24"/>
          <w:szCs w:val="24"/>
        </w:rPr>
        <w:t>Direito dos Meios de Pagamento.</w:t>
      </w:r>
      <w:r w:rsidR="00037E61" w:rsidRPr="008A7972">
        <w:rPr>
          <w:rFonts w:ascii="Times New Roman" w:eastAsia="Arial" w:hAnsi="Times New Roman" w:cs="Times New Roman"/>
          <w:bCs/>
          <w:sz w:val="24"/>
          <w:szCs w:val="24"/>
        </w:rPr>
        <w:t xml:space="preserve"> 1. ed. São Paulo: Quartier </w:t>
      </w:r>
      <w:proofErr w:type="spellStart"/>
      <w:r w:rsidR="00037E61" w:rsidRPr="008A7972">
        <w:rPr>
          <w:rFonts w:ascii="Times New Roman" w:eastAsia="Arial" w:hAnsi="Times New Roman" w:cs="Times New Roman"/>
          <w:bCs/>
          <w:sz w:val="24"/>
          <w:szCs w:val="24"/>
        </w:rPr>
        <w:t>Latin</w:t>
      </w:r>
      <w:proofErr w:type="spellEnd"/>
      <w:r w:rsidR="00037E61" w:rsidRPr="008A7972">
        <w:rPr>
          <w:rFonts w:ascii="Times New Roman" w:eastAsia="Arial" w:hAnsi="Times New Roman" w:cs="Times New Roman"/>
          <w:bCs/>
          <w:sz w:val="24"/>
          <w:szCs w:val="24"/>
        </w:rPr>
        <w:t>, 2023.</w:t>
      </w:r>
      <w:r w:rsidR="001D3AEB">
        <w:rPr>
          <w:rFonts w:ascii="Times New Roman" w:eastAsia="Arial" w:hAnsi="Times New Roman" w:cs="Times New Roman"/>
          <w:bCs/>
          <w:sz w:val="24"/>
          <w:szCs w:val="24"/>
        </w:rPr>
        <w:t xml:space="preserve"> p. </w:t>
      </w:r>
      <w:r w:rsidR="009D16B6">
        <w:rPr>
          <w:rFonts w:ascii="Times New Roman" w:eastAsia="Arial" w:hAnsi="Times New Roman" w:cs="Times New Roman"/>
          <w:bCs/>
          <w:sz w:val="24"/>
          <w:szCs w:val="24"/>
        </w:rPr>
        <w:t>110/111.</w:t>
      </w:r>
    </w:p>
    <w:p w14:paraId="1ECFCCD2" w14:textId="6EA7706A" w:rsidR="008A7972" w:rsidRPr="00034824" w:rsidRDefault="008A7972" w:rsidP="008A7972">
      <w:pPr>
        <w:spacing w:after="0" w:line="360" w:lineRule="auto"/>
        <w:jc w:val="both"/>
        <w:rPr>
          <w:rFonts w:ascii="Times New Roman" w:eastAsia="Arial" w:hAnsi="Times New Roman" w:cs="Times New Roman"/>
          <w:sz w:val="24"/>
          <w:szCs w:val="24"/>
        </w:rPr>
      </w:pPr>
    </w:p>
    <w:p w14:paraId="24F1607E" w14:textId="77777777" w:rsidR="008A7972" w:rsidRPr="00034824" w:rsidRDefault="008A7972" w:rsidP="008A7972">
      <w:pPr>
        <w:spacing w:after="0" w:line="360" w:lineRule="auto"/>
        <w:jc w:val="both"/>
        <w:rPr>
          <w:rFonts w:ascii="Times New Roman" w:eastAsia="Arial" w:hAnsi="Times New Roman" w:cs="Times New Roman"/>
          <w:sz w:val="24"/>
          <w:szCs w:val="24"/>
        </w:rPr>
      </w:pPr>
    </w:p>
    <w:p w14:paraId="63C516A4" w14:textId="2E90E894" w:rsidR="00D216E9" w:rsidRDefault="008A7972" w:rsidP="008A7972">
      <w:pPr>
        <w:rPr>
          <w:rFonts w:ascii="Times New Roman" w:eastAsia="Arial" w:hAnsi="Times New Roman" w:cs="Times New Roman"/>
          <w:b/>
          <w:sz w:val="24"/>
          <w:szCs w:val="24"/>
        </w:rPr>
      </w:pPr>
      <w:r w:rsidRPr="00034824">
        <w:rPr>
          <w:rFonts w:ascii="Times New Roman" w:hAnsi="Times New Roman" w:cs="Times New Roman"/>
        </w:rPr>
        <w:br w:type="page"/>
      </w:r>
    </w:p>
    <w:sdt>
      <w:sdtPr>
        <w:rPr>
          <w:rFonts w:ascii="Calibri" w:eastAsia="Calibri" w:hAnsi="Calibri" w:cs="Calibri"/>
          <w:color w:val="auto"/>
          <w:sz w:val="22"/>
          <w:szCs w:val="22"/>
        </w:rPr>
        <w:id w:val="-1950456976"/>
        <w:docPartObj>
          <w:docPartGallery w:val="Table of Contents"/>
          <w:docPartUnique/>
        </w:docPartObj>
      </w:sdtPr>
      <w:sdtEndPr>
        <w:rPr>
          <w:b/>
          <w:bCs/>
        </w:rPr>
      </w:sdtEndPr>
      <w:sdtContent>
        <w:p w14:paraId="0CBD259F" w14:textId="4CCC1ADF" w:rsidR="00B42DC9" w:rsidRDefault="00B42DC9">
          <w:pPr>
            <w:pStyle w:val="CabealhodoSumrio"/>
            <w:rPr>
              <w:rFonts w:ascii="Times New Roman" w:hAnsi="Times New Roman" w:cs="Times New Roman"/>
              <w:b/>
              <w:bCs/>
              <w:color w:val="auto"/>
              <w:sz w:val="24"/>
              <w:szCs w:val="24"/>
            </w:rPr>
          </w:pPr>
          <w:r w:rsidRPr="000356CD">
            <w:rPr>
              <w:rFonts w:ascii="Times New Roman" w:hAnsi="Times New Roman" w:cs="Times New Roman"/>
              <w:b/>
              <w:bCs/>
              <w:color w:val="auto"/>
              <w:sz w:val="24"/>
              <w:szCs w:val="24"/>
            </w:rPr>
            <w:t>S</w:t>
          </w:r>
          <w:r w:rsidR="000356CD" w:rsidRPr="000356CD">
            <w:rPr>
              <w:rFonts w:ascii="Times New Roman" w:hAnsi="Times New Roman" w:cs="Times New Roman"/>
              <w:b/>
              <w:bCs/>
              <w:color w:val="auto"/>
              <w:sz w:val="24"/>
              <w:szCs w:val="24"/>
            </w:rPr>
            <w:t>UMÁRIO</w:t>
          </w:r>
        </w:p>
        <w:p w14:paraId="3D5AFA47" w14:textId="77777777" w:rsidR="000356CD" w:rsidRPr="0086497C" w:rsidRDefault="000356CD" w:rsidP="000356CD">
          <w:pPr>
            <w:rPr>
              <w:rFonts w:ascii="Times New Roman" w:hAnsi="Times New Roman" w:cs="Times New Roman"/>
              <w:sz w:val="24"/>
              <w:szCs w:val="24"/>
            </w:rPr>
          </w:pPr>
        </w:p>
        <w:p w14:paraId="1ACA8E90" w14:textId="4DAEBD38" w:rsidR="000E29F4" w:rsidRDefault="00B42DC9">
          <w:pPr>
            <w:pStyle w:val="Sumrio1"/>
            <w:tabs>
              <w:tab w:val="right" w:leader="dot" w:pos="8494"/>
            </w:tabs>
            <w:rPr>
              <w:rFonts w:cstheme="minorBidi"/>
              <w:noProof/>
              <w:kern w:val="2"/>
              <w:sz w:val="24"/>
              <w:szCs w:val="24"/>
              <w14:ligatures w14:val="standardContextual"/>
            </w:rPr>
          </w:pPr>
          <w:r w:rsidRPr="0086497C">
            <w:rPr>
              <w:rFonts w:ascii="Times New Roman" w:hAnsi="Times New Roman"/>
              <w:sz w:val="24"/>
              <w:szCs w:val="24"/>
            </w:rPr>
            <w:fldChar w:fldCharType="begin"/>
          </w:r>
          <w:r w:rsidRPr="0086497C">
            <w:rPr>
              <w:rFonts w:ascii="Times New Roman" w:hAnsi="Times New Roman"/>
              <w:sz w:val="24"/>
              <w:szCs w:val="24"/>
            </w:rPr>
            <w:instrText xml:space="preserve"> TOC \o "1-3" \h \z \u </w:instrText>
          </w:r>
          <w:r w:rsidRPr="0086497C">
            <w:rPr>
              <w:rFonts w:ascii="Times New Roman" w:hAnsi="Times New Roman"/>
              <w:sz w:val="24"/>
              <w:szCs w:val="24"/>
            </w:rPr>
            <w:fldChar w:fldCharType="separate"/>
          </w:r>
          <w:hyperlink w:anchor="_Toc201336653" w:history="1">
            <w:r w:rsidR="000E29F4" w:rsidRPr="00704F2C">
              <w:rPr>
                <w:rStyle w:val="Hyperlink"/>
                <w:rFonts w:ascii="Times New Roman" w:hAnsi="Times New Roman"/>
                <w:b/>
                <w:bCs/>
                <w:noProof/>
              </w:rPr>
              <w:t>1. INTRODUÇÃO</w:t>
            </w:r>
            <w:r w:rsidR="000E29F4">
              <w:rPr>
                <w:noProof/>
                <w:webHidden/>
              </w:rPr>
              <w:tab/>
            </w:r>
            <w:r w:rsidR="000E29F4">
              <w:rPr>
                <w:noProof/>
                <w:webHidden/>
              </w:rPr>
              <w:fldChar w:fldCharType="begin"/>
            </w:r>
            <w:r w:rsidR="000E29F4">
              <w:rPr>
                <w:noProof/>
                <w:webHidden/>
              </w:rPr>
              <w:instrText xml:space="preserve"> PAGEREF _Toc201336653 \h </w:instrText>
            </w:r>
            <w:r w:rsidR="000E29F4">
              <w:rPr>
                <w:noProof/>
                <w:webHidden/>
              </w:rPr>
            </w:r>
            <w:r w:rsidR="000E29F4">
              <w:rPr>
                <w:noProof/>
                <w:webHidden/>
              </w:rPr>
              <w:fldChar w:fldCharType="separate"/>
            </w:r>
            <w:r w:rsidR="000E29F4">
              <w:rPr>
                <w:noProof/>
                <w:webHidden/>
              </w:rPr>
              <w:t>11</w:t>
            </w:r>
            <w:r w:rsidR="000E29F4">
              <w:rPr>
                <w:noProof/>
                <w:webHidden/>
              </w:rPr>
              <w:fldChar w:fldCharType="end"/>
            </w:r>
          </w:hyperlink>
        </w:p>
        <w:p w14:paraId="67CBFAC9" w14:textId="1DC8D015" w:rsidR="000E29F4" w:rsidRDefault="000E29F4">
          <w:pPr>
            <w:pStyle w:val="Sumrio1"/>
            <w:tabs>
              <w:tab w:val="right" w:leader="dot" w:pos="8494"/>
            </w:tabs>
            <w:rPr>
              <w:rFonts w:cstheme="minorBidi"/>
              <w:noProof/>
              <w:kern w:val="2"/>
              <w:sz w:val="24"/>
              <w:szCs w:val="24"/>
              <w14:ligatures w14:val="standardContextual"/>
            </w:rPr>
          </w:pPr>
          <w:hyperlink w:anchor="_Toc201336654" w:history="1">
            <w:r w:rsidRPr="00704F2C">
              <w:rPr>
                <w:rStyle w:val="Hyperlink"/>
                <w:rFonts w:ascii="Times New Roman" w:hAnsi="Times New Roman"/>
                <w:b/>
                <w:bCs/>
                <w:noProof/>
              </w:rPr>
              <w:t>2. REFERENCIAL TEÓRICO</w:t>
            </w:r>
            <w:r>
              <w:rPr>
                <w:noProof/>
                <w:webHidden/>
              </w:rPr>
              <w:tab/>
            </w:r>
            <w:r>
              <w:rPr>
                <w:noProof/>
                <w:webHidden/>
              </w:rPr>
              <w:fldChar w:fldCharType="begin"/>
            </w:r>
            <w:r>
              <w:rPr>
                <w:noProof/>
                <w:webHidden/>
              </w:rPr>
              <w:instrText xml:space="preserve"> PAGEREF _Toc201336654 \h </w:instrText>
            </w:r>
            <w:r>
              <w:rPr>
                <w:noProof/>
                <w:webHidden/>
              </w:rPr>
            </w:r>
            <w:r>
              <w:rPr>
                <w:noProof/>
                <w:webHidden/>
              </w:rPr>
              <w:fldChar w:fldCharType="separate"/>
            </w:r>
            <w:r>
              <w:rPr>
                <w:noProof/>
                <w:webHidden/>
              </w:rPr>
              <w:t>12</w:t>
            </w:r>
            <w:r>
              <w:rPr>
                <w:noProof/>
                <w:webHidden/>
              </w:rPr>
              <w:fldChar w:fldCharType="end"/>
            </w:r>
          </w:hyperlink>
        </w:p>
        <w:p w14:paraId="1760CE02" w14:textId="2029CCA0" w:rsidR="000E29F4" w:rsidRDefault="000E29F4">
          <w:pPr>
            <w:pStyle w:val="Sumrio2"/>
            <w:tabs>
              <w:tab w:val="right" w:leader="dot" w:pos="8494"/>
            </w:tabs>
            <w:rPr>
              <w:rFonts w:cstheme="minorBidi"/>
              <w:noProof/>
              <w:kern w:val="2"/>
              <w:sz w:val="24"/>
              <w:szCs w:val="24"/>
              <w14:ligatures w14:val="standardContextual"/>
            </w:rPr>
          </w:pPr>
          <w:hyperlink w:anchor="_Toc201336655" w:history="1">
            <w:r w:rsidRPr="00704F2C">
              <w:rPr>
                <w:rStyle w:val="Hyperlink"/>
                <w:rFonts w:ascii="Times New Roman" w:hAnsi="Times New Roman"/>
                <w:b/>
                <w:bCs/>
                <w:noProof/>
              </w:rPr>
              <w:t>2.1. Sistema Financeiro Nacional (SFN)</w:t>
            </w:r>
            <w:r>
              <w:rPr>
                <w:noProof/>
                <w:webHidden/>
              </w:rPr>
              <w:tab/>
            </w:r>
            <w:r>
              <w:rPr>
                <w:noProof/>
                <w:webHidden/>
              </w:rPr>
              <w:fldChar w:fldCharType="begin"/>
            </w:r>
            <w:r>
              <w:rPr>
                <w:noProof/>
                <w:webHidden/>
              </w:rPr>
              <w:instrText xml:space="preserve"> PAGEREF _Toc201336655 \h </w:instrText>
            </w:r>
            <w:r>
              <w:rPr>
                <w:noProof/>
                <w:webHidden/>
              </w:rPr>
            </w:r>
            <w:r>
              <w:rPr>
                <w:noProof/>
                <w:webHidden/>
              </w:rPr>
              <w:fldChar w:fldCharType="separate"/>
            </w:r>
            <w:r>
              <w:rPr>
                <w:noProof/>
                <w:webHidden/>
              </w:rPr>
              <w:t>12</w:t>
            </w:r>
            <w:r>
              <w:rPr>
                <w:noProof/>
                <w:webHidden/>
              </w:rPr>
              <w:fldChar w:fldCharType="end"/>
            </w:r>
          </w:hyperlink>
        </w:p>
        <w:p w14:paraId="77CBE629" w14:textId="3E5D5365" w:rsidR="000E29F4" w:rsidRDefault="000E29F4">
          <w:pPr>
            <w:pStyle w:val="Sumrio3"/>
            <w:tabs>
              <w:tab w:val="right" w:leader="dot" w:pos="8494"/>
            </w:tabs>
            <w:rPr>
              <w:rFonts w:cstheme="minorBidi"/>
              <w:noProof/>
              <w:kern w:val="2"/>
              <w:sz w:val="24"/>
              <w:szCs w:val="24"/>
              <w14:ligatures w14:val="standardContextual"/>
            </w:rPr>
          </w:pPr>
          <w:hyperlink w:anchor="_Toc201336656" w:history="1">
            <w:r w:rsidRPr="00704F2C">
              <w:rPr>
                <w:rStyle w:val="Hyperlink"/>
                <w:rFonts w:ascii="Times New Roman" w:hAnsi="Times New Roman"/>
                <w:b/>
                <w:bCs/>
                <w:noProof/>
              </w:rPr>
              <w:t>2.1.1. Conceito de Atividade Financeira</w:t>
            </w:r>
            <w:r>
              <w:rPr>
                <w:noProof/>
                <w:webHidden/>
              </w:rPr>
              <w:tab/>
            </w:r>
            <w:r>
              <w:rPr>
                <w:noProof/>
                <w:webHidden/>
              </w:rPr>
              <w:fldChar w:fldCharType="begin"/>
            </w:r>
            <w:r>
              <w:rPr>
                <w:noProof/>
                <w:webHidden/>
              </w:rPr>
              <w:instrText xml:space="preserve"> PAGEREF _Toc201336656 \h </w:instrText>
            </w:r>
            <w:r>
              <w:rPr>
                <w:noProof/>
                <w:webHidden/>
              </w:rPr>
            </w:r>
            <w:r>
              <w:rPr>
                <w:noProof/>
                <w:webHidden/>
              </w:rPr>
              <w:fldChar w:fldCharType="separate"/>
            </w:r>
            <w:r>
              <w:rPr>
                <w:noProof/>
                <w:webHidden/>
              </w:rPr>
              <w:t>13</w:t>
            </w:r>
            <w:r>
              <w:rPr>
                <w:noProof/>
                <w:webHidden/>
              </w:rPr>
              <w:fldChar w:fldCharType="end"/>
            </w:r>
          </w:hyperlink>
        </w:p>
        <w:p w14:paraId="64499F04" w14:textId="66F3220F" w:rsidR="000E29F4" w:rsidRDefault="000E29F4">
          <w:pPr>
            <w:pStyle w:val="Sumrio3"/>
            <w:tabs>
              <w:tab w:val="right" w:leader="dot" w:pos="8494"/>
            </w:tabs>
            <w:rPr>
              <w:rFonts w:cstheme="minorBidi"/>
              <w:noProof/>
              <w:kern w:val="2"/>
              <w:sz w:val="24"/>
              <w:szCs w:val="24"/>
              <w14:ligatures w14:val="standardContextual"/>
            </w:rPr>
          </w:pPr>
          <w:hyperlink w:anchor="_Toc201336657" w:history="1">
            <w:r w:rsidRPr="00704F2C">
              <w:rPr>
                <w:rStyle w:val="Hyperlink"/>
                <w:rFonts w:ascii="Times New Roman" w:hAnsi="Times New Roman"/>
                <w:b/>
                <w:bCs/>
                <w:noProof/>
              </w:rPr>
              <w:t>2.1.2. Tipologia das Instituições Financeiras</w:t>
            </w:r>
            <w:r>
              <w:rPr>
                <w:noProof/>
                <w:webHidden/>
              </w:rPr>
              <w:tab/>
            </w:r>
            <w:r>
              <w:rPr>
                <w:noProof/>
                <w:webHidden/>
              </w:rPr>
              <w:fldChar w:fldCharType="begin"/>
            </w:r>
            <w:r>
              <w:rPr>
                <w:noProof/>
                <w:webHidden/>
              </w:rPr>
              <w:instrText xml:space="preserve"> PAGEREF _Toc201336657 \h </w:instrText>
            </w:r>
            <w:r>
              <w:rPr>
                <w:noProof/>
                <w:webHidden/>
              </w:rPr>
            </w:r>
            <w:r>
              <w:rPr>
                <w:noProof/>
                <w:webHidden/>
              </w:rPr>
              <w:fldChar w:fldCharType="separate"/>
            </w:r>
            <w:r>
              <w:rPr>
                <w:noProof/>
                <w:webHidden/>
              </w:rPr>
              <w:t>14</w:t>
            </w:r>
            <w:r>
              <w:rPr>
                <w:noProof/>
                <w:webHidden/>
              </w:rPr>
              <w:fldChar w:fldCharType="end"/>
            </w:r>
          </w:hyperlink>
        </w:p>
        <w:p w14:paraId="77663A7C" w14:textId="622C99D3" w:rsidR="000E29F4" w:rsidRDefault="000E29F4">
          <w:pPr>
            <w:pStyle w:val="Sumrio2"/>
            <w:tabs>
              <w:tab w:val="right" w:leader="dot" w:pos="8494"/>
            </w:tabs>
            <w:rPr>
              <w:rFonts w:cstheme="minorBidi"/>
              <w:noProof/>
              <w:kern w:val="2"/>
              <w:sz w:val="24"/>
              <w:szCs w:val="24"/>
              <w14:ligatures w14:val="standardContextual"/>
            </w:rPr>
          </w:pPr>
          <w:hyperlink w:anchor="_Toc201336658" w:history="1">
            <w:r w:rsidRPr="00704F2C">
              <w:rPr>
                <w:rStyle w:val="Hyperlink"/>
                <w:rFonts w:ascii="Times New Roman" w:hAnsi="Times New Roman"/>
                <w:b/>
                <w:bCs/>
                <w:noProof/>
              </w:rPr>
              <w:t>2.2. Sistema de Pagamentos Brasileiro (SPB)</w:t>
            </w:r>
            <w:r>
              <w:rPr>
                <w:noProof/>
                <w:webHidden/>
              </w:rPr>
              <w:tab/>
            </w:r>
            <w:r>
              <w:rPr>
                <w:noProof/>
                <w:webHidden/>
              </w:rPr>
              <w:fldChar w:fldCharType="begin"/>
            </w:r>
            <w:r>
              <w:rPr>
                <w:noProof/>
                <w:webHidden/>
              </w:rPr>
              <w:instrText xml:space="preserve"> PAGEREF _Toc201336658 \h </w:instrText>
            </w:r>
            <w:r>
              <w:rPr>
                <w:noProof/>
                <w:webHidden/>
              </w:rPr>
            </w:r>
            <w:r>
              <w:rPr>
                <w:noProof/>
                <w:webHidden/>
              </w:rPr>
              <w:fldChar w:fldCharType="separate"/>
            </w:r>
            <w:r>
              <w:rPr>
                <w:noProof/>
                <w:webHidden/>
              </w:rPr>
              <w:t>15</w:t>
            </w:r>
            <w:r>
              <w:rPr>
                <w:noProof/>
                <w:webHidden/>
              </w:rPr>
              <w:fldChar w:fldCharType="end"/>
            </w:r>
          </w:hyperlink>
        </w:p>
        <w:p w14:paraId="27DEA5AD" w14:textId="4279EE1C" w:rsidR="000E29F4" w:rsidRDefault="000E29F4">
          <w:pPr>
            <w:pStyle w:val="Sumrio3"/>
            <w:tabs>
              <w:tab w:val="right" w:leader="dot" w:pos="8494"/>
            </w:tabs>
            <w:rPr>
              <w:rFonts w:cstheme="minorBidi"/>
              <w:noProof/>
              <w:kern w:val="2"/>
              <w:sz w:val="24"/>
              <w:szCs w:val="24"/>
              <w14:ligatures w14:val="standardContextual"/>
            </w:rPr>
          </w:pPr>
          <w:hyperlink w:anchor="_Toc201336659" w:history="1">
            <w:r w:rsidRPr="00704F2C">
              <w:rPr>
                <w:rStyle w:val="Hyperlink"/>
                <w:rFonts w:ascii="Times New Roman" w:hAnsi="Times New Roman"/>
                <w:b/>
                <w:bCs/>
                <w:noProof/>
              </w:rPr>
              <w:t>2.2.1. Tipologia das Instituições de Pagamento</w:t>
            </w:r>
            <w:r>
              <w:rPr>
                <w:noProof/>
                <w:webHidden/>
              </w:rPr>
              <w:tab/>
            </w:r>
            <w:r>
              <w:rPr>
                <w:noProof/>
                <w:webHidden/>
              </w:rPr>
              <w:fldChar w:fldCharType="begin"/>
            </w:r>
            <w:r>
              <w:rPr>
                <w:noProof/>
                <w:webHidden/>
              </w:rPr>
              <w:instrText xml:space="preserve"> PAGEREF _Toc201336659 \h </w:instrText>
            </w:r>
            <w:r>
              <w:rPr>
                <w:noProof/>
                <w:webHidden/>
              </w:rPr>
            </w:r>
            <w:r>
              <w:rPr>
                <w:noProof/>
                <w:webHidden/>
              </w:rPr>
              <w:fldChar w:fldCharType="separate"/>
            </w:r>
            <w:r>
              <w:rPr>
                <w:noProof/>
                <w:webHidden/>
              </w:rPr>
              <w:t>20</w:t>
            </w:r>
            <w:r>
              <w:rPr>
                <w:noProof/>
                <w:webHidden/>
              </w:rPr>
              <w:fldChar w:fldCharType="end"/>
            </w:r>
          </w:hyperlink>
        </w:p>
        <w:p w14:paraId="2386B6CA" w14:textId="41AEF0CB" w:rsidR="000E29F4" w:rsidRDefault="000E29F4">
          <w:pPr>
            <w:pStyle w:val="Sumrio3"/>
            <w:tabs>
              <w:tab w:val="right" w:leader="dot" w:pos="8494"/>
            </w:tabs>
            <w:rPr>
              <w:rFonts w:cstheme="minorBidi"/>
              <w:noProof/>
              <w:kern w:val="2"/>
              <w:sz w:val="24"/>
              <w:szCs w:val="24"/>
              <w14:ligatures w14:val="standardContextual"/>
            </w:rPr>
          </w:pPr>
          <w:hyperlink w:anchor="_Toc201336660" w:history="1">
            <w:r w:rsidRPr="00704F2C">
              <w:rPr>
                <w:rStyle w:val="Hyperlink"/>
                <w:rFonts w:ascii="Times New Roman" w:hAnsi="Times New Roman"/>
                <w:b/>
                <w:bCs/>
                <w:noProof/>
              </w:rPr>
              <w:t>2.2.2. Cartões de Crédito</w:t>
            </w:r>
            <w:r>
              <w:rPr>
                <w:noProof/>
                <w:webHidden/>
              </w:rPr>
              <w:tab/>
            </w:r>
            <w:r>
              <w:rPr>
                <w:noProof/>
                <w:webHidden/>
              </w:rPr>
              <w:fldChar w:fldCharType="begin"/>
            </w:r>
            <w:r>
              <w:rPr>
                <w:noProof/>
                <w:webHidden/>
              </w:rPr>
              <w:instrText xml:space="preserve"> PAGEREF _Toc201336660 \h </w:instrText>
            </w:r>
            <w:r>
              <w:rPr>
                <w:noProof/>
                <w:webHidden/>
              </w:rPr>
            </w:r>
            <w:r>
              <w:rPr>
                <w:noProof/>
                <w:webHidden/>
              </w:rPr>
              <w:fldChar w:fldCharType="separate"/>
            </w:r>
            <w:r>
              <w:rPr>
                <w:noProof/>
                <w:webHidden/>
              </w:rPr>
              <w:t>23</w:t>
            </w:r>
            <w:r>
              <w:rPr>
                <w:noProof/>
                <w:webHidden/>
              </w:rPr>
              <w:fldChar w:fldCharType="end"/>
            </w:r>
          </w:hyperlink>
        </w:p>
        <w:p w14:paraId="021F2E2A" w14:textId="31DCF38F" w:rsidR="000E29F4" w:rsidRDefault="000E29F4">
          <w:pPr>
            <w:pStyle w:val="Sumrio3"/>
            <w:tabs>
              <w:tab w:val="right" w:leader="dot" w:pos="8494"/>
            </w:tabs>
            <w:rPr>
              <w:rFonts w:cstheme="minorBidi"/>
              <w:noProof/>
              <w:kern w:val="2"/>
              <w:sz w:val="24"/>
              <w:szCs w:val="24"/>
              <w14:ligatures w14:val="standardContextual"/>
            </w:rPr>
          </w:pPr>
          <w:hyperlink w:anchor="_Toc201336661" w:history="1">
            <w:r w:rsidRPr="00704F2C">
              <w:rPr>
                <w:rStyle w:val="Hyperlink"/>
                <w:rFonts w:ascii="Times New Roman" w:hAnsi="Times New Roman"/>
                <w:b/>
                <w:bCs/>
                <w:noProof/>
              </w:rPr>
              <w:t>2.2.3. Relação entre Emissor e Usuário do Cartão</w:t>
            </w:r>
            <w:r>
              <w:rPr>
                <w:noProof/>
                <w:webHidden/>
              </w:rPr>
              <w:tab/>
            </w:r>
            <w:r>
              <w:rPr>
                <w:noProof/>
                <w:webHidden/>
              </w:rPr>
              <w:fldChar w:fldCharType="begin"/>
            </w:r>
            <w:r>
              <w:rPr>
                <w:noProof/>
                <w:webHidden/>
              </w:rPr>
              <w:instrText xml:space="preserve"> PAGEREF _Toc201336661 \h </w:instrText>
            </w:r>
            <w:r>
              <w:rPr>
                <w:noProof/>
                <w:webHidden/>
              </w:rPr>
            </w:r>
            <w:r>
              <w:rPr>
                <w:noProof/>
                <w:webHidden/>
              </w:rPr>
              <w:fldChar w:fldCharType="separate"/>
            </w:r>
            <w:r>
              <w:rPr>
                <w:noProof/>
                <w:webHidden/>
              </w:rPr>
              <w:t>25</w:t>
            </w:r>
            <w:r>
              <w:rPr>
                <w:noProof/>
                <w:webHidden/>
              </w:rPr>
              <w:fldChar w:fldCharType="end"/>
            </w:r>
          </w:hyperlink>
        </w:p>
        <w:p w14:paraId="013ABF61" w14:textId="1E6CBFAE" w:rsidR="000E29F4" w:rsidRDefault="000E29F4">
          <w:pPr>
            <w:pStyle w:val="Sumrio3"/>
            <w:tabs>
              <w:tab w:val="right" w:leader="dot" w:pos="8494"/>
            </w:tabs>
            <w:rPr>
              <w:rFonts w:cstheme="minorBidi"/>
              <w:noProof/>
              <w:kern w:val="2"/>
              <w:sz w:val="24"/>
              <w:szCs w:val="24"/>
              <w14:ligatures w14:val="standardContextual"/>
            </w:rPr>
          </w:pPr>
          <w:hyperlink w:anchor="_Toc201336662" w:history="1">
            <w:r w:rsidRPr="00704F2C">
              <w:rPr>
                <w:rStyle w:val="Hyperlink"/>
                <w:rFonts w:ascii="Times New Roman" w:hAnsi="Times New Roman"/>
                <w:b/>
                <w:bCs/>
                <w:noProof/>
              </w:rPr>
              <w:t>2.2.4. Relação entre Emissor e Credenciadora</w:t>
            </w:r>
            <w:r>
              <w:rPr>
                <w:noProof/>
                <w:webHidden/>
              </w:rPr>
              <w:tab/>
            </w:r>
            <w:r>
              <w:rPr>
                <w:noProof/>
                <w:webHidden/>
              </w:rPr>
              <w:fldChar w:fldCharType="begin"/>
            </w:r>
            <w:r>
              <w:rPr>
                <w:noProof/>
                <w:webHidden/>
              </w:rPr>
              <w:instrText xml:space="preserve"> PAGEREF _Toc201336662 \h </w:instrText>
            </w:r>
            <w:r>
              <w:rPr>
                <w:noProof/>
                <w:webHidden/>
              </w:rPr>
            </w:r>
            <w:r>
              <w:rPr>
                <w:noProof/>
                <w:webHidden/>
              </w:rPr>
              <w:fldChar w:fldCharType="separate"/>
            </w:r>
            <w:r>
              <w:rPr>
                <w:noProof/>
                <w:webHidden/>
              </w:rPr>
              <w:t>26</w:t>
            </w:r>
            <w:r>
              <w:rPr>
                <w:noProof/>
                <w:webHidden/>
              </w:rPr>
              <w:fldChar w:fldCharType="end"/>
            </w:r>
          </w:hyperlink>
        </w:p>
        <w:p w14:paraId="45CC8F9B" w14:textId="69A6B858" w:rsidR="000E29F4" w:rsidRDefault="000E29F4">
          <w:pPr>
            <w:pStyle w:val="Sumrio3"/>
            <w:tabs>
              <w:tab w:val="right" w:leader="dot" w:pos="8494"/>
            </w:tabs>
            <w:rPr>
              <w:rFonts w:cstheme="minorBidi"/>
              <w:noProof/>
              <w:kern w:val="2"/>
              <w:sz w:val="24"/>
              <w:szCs w:val="24"/>
              <w14:ligatures w14:val="standardContextual"/>
            </w:rPr>
          </w:pPr>
          <w:hyperlink w:anchor="_Toc201336663" w:history="1">
            <w:r w:rsidRPr="00704F2C">
              <w:rPr>
                <w:rStyle w:val="Hyperlink"/>
                <w:rFonts w:ascii="Times New Roman" w:hAnsi="Times New Roman"/>
                <w:b/>
                <w:bCs/>
                <w:noProof/>
              </w:rPr>
              <w:t>2.2.5. Relação entre Credenciadora e Fornecedor</w:t>
            </w:r>
            <w:r>
              <w:rPr>
                <w:noProof/>
                <w:webHidden/>
              </w:rPr>
              <w:tab/>
            </w:r>
            <w:r>
              <w:rPr>
                <w:noProof/>
                <w:webHidden/>
              </w:rPr>
              <w:fldChar w:fldCharType="begin"/>
            </w:r>
            <w:r>
              <w:rPr>
                <w:noProof/>
                <w:webHidden/>
              </w:rPr>
              <w:instrText xml:space="preserve"> PAGEREF _Toc201336663 \h </w:instrText>
            </w:r>
            <w:r>
              <w:rPr>
                <w:noProof/>
                <w:webHidden/>
              </w:rPr>
            </w:r>
            <w:r>
              <w:rPr>
                <w:noProof/>
                <w:webHidden/>
              </w:rPr>
              <w:fldChar w:fldCharType="separate"/>
            </w:r>
            <w:r>
              <w:rPr>
                <w:noProof/>
                <w:webHidden/>
              </w:rPr>
              <w:t>26</w:t>
            </w:r>
            <w:r>
              <w:rPr>
                <w:noProof/>
                <w:webHidden/>
              </w:rPr>
              <w:fldChar w:fldCharType="end"/>
            </w:r>
          </w:hyperlink>
        </w:p>
        <w:p w14:paraId="53AE13F4" w14:textId="279ADB7D" w:rsidR="000E29F4" w:rsidRDefault="000E29F4">
          <w:pPr>
            <w:pStyle w:val="Sumrio3"/>
            <w:tabs>
              <w:tab w:val="right" w:leader="dot" w:pos="8494"/>
            </w:tabs>
            <w:rPr>
              <w:rFonts w:cstheme="minorBidi"/>
              <w:noProof/>
              <w:kern w:val="2"/>
              <w:sz w:val="24"/>
              <w:szCs w:val="24"/>
              <w14:ligatures w14:val="standardContextual"/>
            </w:rPr>
          </w:pPr>
          <w:hyperlink w:anchor="_Toc201336664" w:history="1">
            <w:r w:rsidRPr="00704F2C">
              <w:rPr>
                <w:rStyle w:val="Hyperlink"/>
                <w:rFonts w:ascii="Times New Roman" w:hAnsi="Times New Roman"/>
                <w:b/>
                <w:bCs/>
                <w:noProof/>
              </w:rPr>
              <w:t>2.2.6. Relação entre Emissor e Instituição Financeira</w:t>
            </w:r>
            <w:r>
              <w:rPr>
                <w:noProof/>
                <w:webHidden/>
              </w:rPr>
              <w:tab/>
            </w:r>
            <w:r>
              <w:rPr>
                <w:noProof/>
                <w:webHidden/>
              </w:rPr>
              <w:fldChar w:fldCharType="begin"/>
            </w:r>
            <w:r>
              <w:rPr>
                <w:noProof/>
                <w:webHidden/>
              </w:rPr>
              <w:instrText xml:space="preserve"> PAGEREF _Toc201336664 \h </w:instrText>
            </w:r>
            <w:r>
              <w:rPr>
                <w:noProof/>
                <w:webHidden/>
              </w:rPr>
            </w:r>
            <w:r>
              <w:rPr>
                <w:noProof/>
                <w:webHidden/>
              </w:rPr>
              <w:fldChar w:fldCharType="separate"/>
            </w:r>
            <w:r>
              <w:rPr>
                <w:noProof/>
                <w:webHidden/>
              </w:rPr>
              <w:t>27</w:t>
            </w:r>
            <w:r>
              <w:rPr>
                <w:noProof/>
                <w:webHidden/>
              </w:rPr>
              <w:fldChar w:fldCharType="end"/>
            </w:r>
          </w:hyperlink>
        </w:p>
        <w:p w14:paraId="58405EE4" w14:textId="7212F50C" w:rsidR="000E29F4" w:rsidRDefault="000E29F4">
          <w:pPr>
            <w:pStyle w:val="Sumrio3"/>
            <w:tabs>
              <w:tab w:val="right" w:leader="dot" w:pos="8494"/>
            </w:tabs>
            <w:rPr>
              <w:rFonts w:cstheme="minorBidi"/>
              <w:noProof/>
              <w:kern w:val="2"/>
              <w:sz w:val="24"/>
              <w:szCs w:val="24"/>
              <w14:ligatures w14:val="standardContextual"/>
            </w:rPr>
          </w:pPr>
          <w:hyperlink w:anchor="_Toc201336665" w:history="1">
            <w:r w:rsidRPr="00704F2C">
              <w:rPr>
                <w:rStyle w:val="Hyperlink"/>
                <w:rFonts w:ascii="Times New Roman" w:hAnsi="Times New Roman"/>
                <w:b/>
                <w:bCs/>
                <w:noProof/>
              </w:rPr>
              <w:t>2.2.7. Relação entre Credenciadora e Instituição Financeira</w:t>
            </w:r>
            <w:r>
              <w:rPr>
                <w:noProof/>
                <w:webHidden/>
              </w:rPr>
              <w:tab/>
            </w:r>
            <w:r>
              <w:rPr>
                <w:noProof/>
                <w:webHidden/>
              </w:rPr>
              <w:fldChar w:fldCharType="begin"/>
            </w:r>
            <w:r>
              <w:rPr>
                <w:noProof/>
                <w:webHidden/>
              </w:rPr>
              <w:instrText xml:space="preserve"> PAGEREF _Toc201336665 \h </w:instrText>
            </w:r>
            <w:r>
              <w:rPr>
                <w:noProof/>
                <w:webHidden/>
              </w:rPr>
            </w:r>
            <w:r>
              <w:rPr>
                <w:noProof/>
                <w:webHidden/>
              </w:rPr>
              <w:fldChar w:fldCharType="separate"/>
            </w:r>
            <w:r>
              <w:rPr>
                <w:noProof/>
                <w:webHidden/>
              </w:rPr>
              <w:t>28</w:t>
            </w:r>
            <w:r>
              <w:rPr>
                <w:noProof/>
                <w:webHidden/>
              </w:rPr>
              <w:fldChar w:fldCharType="end"/>
            </w:r>
          </w:hyperlink>
        </w:p>
        <w:p w14:paraId="38853635" w14:textId="7A4EF8EC" w:rsidR="000E29F4" w:rsidRDefault="000E29F4">
          <w:pPr>
            <w:pStyle w:val="Sumrio3"/>
            <w:tabs>
              <w:tab w:val="right" w:leader="dot" w:pos="8494"/>
            </w:tabs>
            <w:rPr>
              <w:rFonts w:cstheme="minorBidi"/>
              <w:noProof/>
              <w:kern w:val="2"/>
              <w:sz w:val="24"/>
              <w:szCs w:val="24"/>
              <w14:ligatures w14:val="standardContextual"/>
            </w:rPr>
          </w:pPr>
          <w:hyperlink w:anchor="_Toc201336666" w:history="1">
            <w:r w:rsidRPr="00704F2C">
              <w:rPr>
                <w:rStyle w:val="Hyperlink"/>
                <w:rFonts w:ascii="Times New Roman" w:hAnsi="Times New Roman"/>
                <w:b/>
                <w:bCs/>
                <w:noProof/>
              </w:rPr>
              <w:t>2.2.8. Relação do Emissor e da Credenciador com a Bandeira</w:t>
            </w:r>
            <w:r>
              <w:rPr>
                <w:noProof/>
                <w:webHidden/>
              </w:rPr>
              <w:tab/>
            </w:r>
            <w:r>
              <w:rPr>
                <w:noProof/>
                <w:webHidden/>
              </w:rPr>
              <w:fldChar w:fldCharType="begin"/>
            </w:r>
            <w:r>
              <w:rPr>
                <w:noProof/>
                <w:webHidden/>
              </w:rPr>
              <w:instrText xml:space="preserve"> PAGEREF _Toc201336666 \h </w:instrText>
            </w:r>
            <w:r>
              <w:rPr>
                <w:noProof/>
                <w:webHidden/>
              </w:rPr>
            </w:r>
            <w:r>
              <w:rPr>
                <w:noProof/>
                <w:webHidden/>
              </w:rPr>
              <w:fldChar w:fldCharType="separate"/>
            </w:r>
            <w:r>
              <w:rPr>
                <w:noProof/>
                <w:webHidden/>
              </w:rPr>
              <w:t>28</w:t>
            </w:r>
            <w:r>
              <w:rPr>
                <w:noProof/>
                <w:webHidden/>
              </w:rPr>
              <w:fldChar w:fldCharType="end"/>
            </w:r>
          </w:hyperlink>
        </w:p>
        <w:p w14:paraId="697D5FE0" w14:textId="04AC80E7" w:rsidR="000E29F4" w:rsidRDefault="000E29F4">
          <w:pPr>
            <w:pStyle w:val="Sumrio1"/>
            <w:tabs>
              <w:tab w:val="right" w:leader="dot" w:pos="8494"/>
            </w:tabs>
            <w:rPr>
              <w:rFonts w:cstheme="minorBidi"/>
              <w:noProof/>
              <w:kern w:val="2"/>
              <w:sz w:val="24"/>
              <w:szCs w:val="24"/>
              <w14:ligatures w14:val="standardContextual"/>
            </w:rPr>
          </w:pPr>
          <w:hyperlink w:anchor="_Toc201336667" w:history="1">
            <w:r w:rsidRPr="00704F2C">
              <w:rPr>
                <w:rStyle w:val="Hyperlink"/>
                <w:rFonts w:ascii="Times New Roman" w:hAnsi="Times New Roman"/>
                <w:b/>
                <w:bCs/>
                <w:noProof/>
              </w:rPr>
              <w:t>3. INTERCONEXÕES ENTRE SFN E SPB</w:t>
            </w:r>
            <w:r>
              <w:rPr>
                <w:noProof/>
                <w:webHidden/>
              </w:rPr>
              <w:tab/>
            </w:r>
            <w:r>
              <w:rPr>
                <w:noProof/>
                <w:webHidden/>
              </w:rPr>
              <w:fldChar w:fldCharType="begin"/>
            </w:r>
            <w:r>
              <w:rPr>
                <w:noProof/>
                <w:webHidden/>
              </w:rPr>
              <w:instrText xml:space="preserve"> PAGEREF _Toc201336667 \h </w:instrText>
            </w:r>
            <w:r>
              <w:rPr>
                <w:noProof/>
                <w:webHidden/>
              </w:rPr>
            </w:r>
            <w:r>
              <w:rPr>
                <w:noProof/>
                <w:webHidden/>
              </w:rPr>
              <w:fldChar w:fldCharType="separate"/>
            </w:r>
            <w:r>
              <w:rPr>
                <w:noProof/>
                <w:webHidden/>
              </w:rPr>
              <w:t>29</w:t>
            </w:r>
            <w:r>
              <w:rPr>
                <w:noProof/>
                <w:webHidden/>
              </w:rPr>
              <w:fldChar w:fldCharType="end"/>
            </w:r>
          </w:hyperlink>
        </w:p>
        <w:p w14:paraId="09D3FF4D" w14:textId="095C692F" w:rsidR="000E29F4" w:rsidRDefault="000E29F4">
          <w:pPr>
            <w:pStyle w:val="Sumrio2"/>
            <w:tabs>
              <w:tab w:val="right" w:leader="dot" w:pos="8494"/>
            </w:tabs>
            <w:rPr>
              <w:rFonts w:cstheme="minorBidi"/>
              <w:noProof/>
              <w:kern w:val="2"/>
              <w:sz w:val="24"/>
              <w:szCs w:val="24"/>
              <w14:ligatures w14:val="standardContextual"/>
            </w:rPr>
          </w:pPr>
          <w:hyperlink w:anchor="_Toc201336668" w:history="1">
            <w:r w:rsidRPr="00704F2C">
              <w:rPr>
                <w:rStyle w:val="Hyperlink"/>
                <w:rFonts w:ascii="Times New Roman" w:eastAsia="Arial" w:hAnsi="Times New Roman"/>
                <w:b/>
                <w:bCs/>
                <w:noProof/>
              </w:rPr>
              <w:t>3.1. Contas de Pagamento e Contas Bancárias</w:t>
            </w:r>
            <w:r>
              <w:rPr>
                <w:noProof/>
                <w:webHidden/>
              </w:rPr>
              <w:tab/>
            </w:r>
            <w:r>
              <w:rPr>
                <w:noProof/>
                <w:webHidden/>
              </w:rPr>
              <w:fldChar w:fldCharType="begin"/>
            </w:r>
            <w:r>
              <w:rPr>
                <w:noProof/>
                <w:webHidden/>
              </w:rPr>
              <w:instrText xml:space="preserve"> PAGEREF _Toc201336668 \h </w:instrText>
            </w:r>
            <w:r>
              <w:rPr>
                <w:noProof/>
                <w:webHidden/>
              </w:rPr>
            </w:r>
            <w:r>
              <w:rPr>
                <w:noProof/>
                <w:webHidden/>
              </w:rPr>
              <w:fldChar w:fldCharType="separate"/>
            </w:r>
            <w:r>
              <w:rPr>
                <w:noProof/>
                <w:webHidden/>
              </w:rPr>
              <w:t>30</w:t>
            </w:r>
            <w:r>
              <w:rPr>
                <w:noProof/>
                <w:webHidden/>
              </w:rPr>
              <w:fldChar w:fldCharType="end"/>
            </w:r>
          </w:hyperlink>
        </w:p>
        <w:p w14:paraId="24F5E82B" w14:textId="4902D07D" w:rsidR="000E29F4" w:rsidRDefault="000E29F4">
          <w:pPr>
            <w:pStyle w:val="Sumrio1"/>
            <w:tabs>
              <w:tab w:val="right" w:leader="dot" w:pos="8494"/>
            </w:tabs>
            <w:rPr>
              <w:rFonts w:cstheme="minorBidi"/>
              <w:noProof/>
              <w:kern w:val="2"/>
              <w:sz w:val="24"/>
              <w:szCs w:val="24"/>
              <w14:ligatures w14:val="standardContextual"/>
            </w:rPr>
          </w:pPr>
          <w:hyperlink w:anchor="_Toc201336669" w:history="1">
            <w:r w:rsidRPr="00704F2C">
              <w:rPr>
                <w:rStyle w:val="Hyperlink"/>
                <w:rFonts w:ascii="Times New Roman" w:hAnsi="Times New Roman"/>
                <w:b/>
                <w:bCs/>
                <w:noProof/>
              </w:rPr>
              <w:t>4. INOVAÇÕES E DESAFIOS RECENTES</w:t>
            </w:r>
            <w:r>
              <w:rPr>
                <w:noProof/>
                <w:webHidden/>
              </w:rPr>
              <w:tab/>
            </w:r>
            <w:r>
              <w:rPr>
                <w:noProof/>
                <w:webHidden/>
              </w:rPr>
              <w:fldChar w:fldCharType="begin"/>
            </w:r>
            <w:r>
              <w:rPr>
                <w:noProof/>
                <w:webHidden/>
              </w:rPr>
              <w:instrText xml:space="preserve"> PAGEREF _Toc201336669 \h </w:instrText>
            </w:r>
            <w:r>
              <w:rPr>
                <w:noProof/>
                <w:webHidden/>
              </w:rPr>
            </w:r>
            <w:r>
              <w:rPr>
                <w:noProof/>
                <w:webHidden/>
              </w:rPr>
              <w:fldChar w:fldCharType="separate"/>
            </w:r>
            <w:r>
              <w:rPr>
                <w:noProof/>
                <w:webHidden/>
              </w:rPr>
              <w:t>32</w:t>
            </w:r>
            <w:r>
              <w:rPr>
                <w:noProof/>
                <w:webHidden/>
              </w:rPr>
              <w:fldChar w:fldCharType="end"/>
            </w:r>
          </w:hyperlink>
        </w:p>
        <w:p w14:paraId="08D88022" w14:textId="3F21DB03" w:rsidR="000E29F4" w:rsidRDefault="000E29F4">
          <w:pPr>
            <w:pStyle w:val="Sumrio2"/>
            <w:tabs>
              <w:tab w:val="right" w:leader="dot" w:pos="8494"/>
            </w:tabs>
            <w:rPr>
              <w:rFonts w:cstheme="minorBidi"/>
              <w:noProof/>
              <w:kern w:val="2"/>
              <w:sz w:val="24"/>
              <w:szCs w:val="24"/>
              <w14:ligatures w14:val="standardContextual"/>
            </w:rPr>
          </w:pPr>
          <w:hyperlink w:anchor="_Toc201336670" w:history="1">
            <w:r w:rsidRPr="00704F2C">
              <w:rPr>
                <w:rStyle w:val="Hyperlink"/>
                <w:rFonts w:ascii="Times New Roman" w:eastAsia="Arial" w:hAnsi="Times New Roman"/>
                <w:b/>
                <w:bCs/>
                <w:noProof/>
              </w:rPr>
              <w:t>4.1. Arranjo de Pagamento Pix</w:t>
            </w:r>
            <w:r>
              <w:rPr>
                <w:noProof/>
                <w:webHidden/>
              </w:rPr>
              <w:tab/>
            </w:r>
            <w:r>
              <w:rPr>
                <w:noProof/>
                <w:webHidden/>
              </w:rPr>
              <w:fldChar w:fldCharType="begin"/>
            </w:r>
            <w:r>
              <w:rPr>
                <w:noProof/>
                <w:webHidden/>
              </w:rPr>
              <w:instrText xml:space="preserve"> PAGEREF _Toc201336670 \h </w:instrText>
            </w:r>
            <w:r>
              <w:rPr>
                <w:noProof/>
                <w:webHidden/>
              </w:rPr>
            </w:r>
            <w:r>
              <w:rPr>
                <w:noProof/>
                <w:webHidden/>
              </w:rPr>
              <w:fldChar w:fldCharType="separate"/>
            </w:r>
            <w:r>
              <w:rPr>
                <w:noProof/>
                <w:webHidden/>
              </w:rPr>
              <w:t>33</w:t>
            </w:r>
            <w:r>
              <w:rPr>
                <w:noProof/>
                <w:webHidden/>
              </w:rPr>
              <w:fldChar w:fldCharType="end"/>
            </w:r>
          </w:hyperlink>
        </w:p>
        <w:p w14:paraId="74B848E7" w14:textId="5F5FD64F" w:rsidR="000E29F4" w:rsidRDefault="000E29F4">
          <w:pPr>
            <w:pStyle w:val="Sumrio1"/>
            <w:tabs>
              <w:tab w:val="right" w:leader="dot" w:pos="8494"/>
            </w:tabs>
            <w:rPr>
              <w:rFonts w:cstheme="minorBidi"/>
              <w:noProof/>
              <w:kern w:val="2"/>
              <w:sz w:val="24"/>
              <w:szCs w:val="24"/>
              <w14:ligatures w14:val="standardContextual"/>
            </w:rPr>
          </w:pPr>
          <w:hyperlink w:anchor="_Toc201336671" w:history="1">
            <w:r w:rsidRPr="00704F2C">
              <w:rPr>
                <w:rStyle w:val="Hyperlink"/>
                <w:rFonts w:ascii="Times New Roman" w:hAnsi="Times New Roman"/>
                <w:b/>
                <w:bCs/>
                <w:noProof/>
              </w:rPr>
              <w:t>5. CONSIDERAÇÕES FINAIS</w:t>
            </w:r>
            <w:r>
              <w:rPr>
                <w:noProof/>
                <w:webHidden/>
              </w:rPr>
              <w:tab/>
            </w:r>
            <w:r>
              <w:rPr>
                <w:noProof/>
                <w:webHidden/>
              </w:rPr>
              <w:fldChar w:fldCharType="begin"/>
            </w:r>
            <w:r>
              <w:rPr>
                <w:noProof/>
                <w:webHidden/>
              </w:rPr>
              <w:instrText xml:space="preserve"> PAGEREF _Toc201336671 \h </w:instrText>
            </w:r>
            <w:r>
              <w:rPr>
                <w:noProof/>
                <w:webHidden/>
              </w:rPr>
            </w:r>
            <w:r>
              <w:rPr>
                <w:noProof/>
                <w:webHidden/>
              </w:rPr>
              <w:fldChar w:fldCharType="separate"/>
            </w:r>
            <w:r>
              <w:rPr>
                <w:noProof/>
                <w:webHidden/>
              </w:rPr>
              <w:t>35</w:t>
            </w:r>
            <w:r>
              <w:rPr>
                <w:noProof/>
                <w:webHidden/>
              </w:rPr>
              <w:fldChar w:fldCharType="end"/>
            </w:r>
          </w:hyperlink>
        </w:p>
        <w:p w14:paraId="5CD1BABB" w14:textId="6E72E7E4" w:rsidR="000E29F4" w:rsidRDefault="000E29F4">
          <w:pPr>
            <w:pStyle w:val="Sumrio1"/>
            <w:tabs>
              <w:tab w:val="right" w:leader="dot" w:pos="8494"/>
            </w:tabs>
            <w:rPr>
              <w:rFonts w:cstheme="minorBidi"/>
              <w:noProof/>
              <w:kern w:val="2"/>
              <w:sz w:val="24"/>
              <w:szCs w:val="24"/>
              <w14:ligatures w14:val="standardContextual"/>
            </w:rPr>
          </w:pPr>
          <w:hyperlink w:anchor="_Toc201336672" w:history="1">
            <w:r w:rsidRPr="00704F2C">
              <w:rPr>
                <w:rStyle w:val="Hyperlink"/>
                <w:rFonts w:ascii="Times New Roman" w:hAnsi="Times New Roman"/>
                <w:b/>
                <w:bCs/>
                <w:noProof/>
              </w:rPr>
              <w:t>6. REFERÊNCIAS BIBLIOGRÁFICAS</w:t>
            </w:r>
            <w:r>
              <w:rPr>
                <w:noProof/>
                <w:webHidden/>
              </w:rPr>
              <w:tab/>
            </w:r>
            <w:r>
              <w:rPr>
                <w:noProof/>
                <w:webHidden/>
              </w:rPr>
              <w:fldChar w:fldCharType="begin"/>
            </w:r>
            <w:r>
              <w:rPr>
                <w:noProof/>
                <w:webHidden/>
              </w:rPr>
              <w:instrText xml:space="preserve"> PAGEREF _Toc201336672 \h </w:instrText>
            </w:r>
            <w:r>
              <w:rPr>
                <w:noProof/>
                <w:webHidden/>
              </w:rPr>
            </w:r>
            <w:r>
              <w:rPr>
                <w:noProof/>
                <w:webHidden/>
              </w:rPr>
              <w:fldChar w:fldCharType="separate"/>
            </w:r>
            <w:r>
              <w:rPr>
                <w:noProof/>
                <w:webHidden/>
              </w:rPr>
              <w:t>36</w:t>
            </w:r>
            <w:r>
              <w:rPr>
                <w:noProof/>
                <w:webHidden/>
              </w:rPr>
              <w:fldChar w:fldCharType="end"/>
            </w:r>
          </w:hyperlink>
        </w:p>
        <w:p w14:paraId="4F58F76A" w14:textId="74F578AA" w:rsidR="00B42DC9" w:rsidRDefault="00B42DC9">
          <w:r w:rsidRPr="0086497C">
            <w:rPr>
              <w:rFonts w:ascii="Times New Roman" w:hAnsi="Times New Roman" w:cs="Times New Roman"/>
              <w:b/>
              <w:bCs/>
              <w:sz w:val="24"/>
              <w:szCs w:val="24"/>
            </w:rPr>
            <w:fldChar w:fldCharType="end"/>
          </w:r>
        </w:p>
      </w:sdtContent>
    </w:sdt>
    <w:p w14:paraId="5C54CC28" w14:textId="5A4DAB84" w:rsidR="008A7972" w:rsidRDefault="008A7972" w:rsidP="00B42DC9">
      <w:pPr>
        <w:pStyle w:val="Sumrio3"/>
        <w:ind w:left="0"/>
      </w:pPr>
    </w:p>
    <w:p w14:paraId="6D0A7ABE" w14:textId="77777777" w:rsidR="008A7972" w:rsidRDefault="008A7972" w:rsidP="008A7972">
      <w:pPr>
        <w:rPr>
          <w:rFonts w:ascii="Times New Roman" w:eastAsia="Arial" w:hAnsi="Times New Roman" w:cs="Times New Roman"/>
          <w:b/>
          <w:sz w:val="24"/>
          <w:szCs w:val="24"/>
        </w:rPr>
      </w:pPr>
    </w:p>
    <w:p w14:paraId="7D96C233" w14:textId="77777777" w:rsidR="008A7972" w:rsidRDefault="008A7972" w:rsidP="008A7972">
      <w:pPr>
        <w:rPr>
          <w:rFonts w:ascii="Times New Roman" w:eastAsia="Arial" w:hAnsi="Times New Roman" w:cs="Times New Roman"/>
          <w:b/>
          <w:sz w:val="24"/>
          <w:szCs w:val="24"/>
        </w:rPr>
      </w:pPr>
    </w:p>
    <w:p w14:paraId="2850E0FD" w14:textId="77777777" w:rsidR="008A7972" w:rsidRDefault="008A7972" w:rsidP="008A7972">
      <w:pPr>
        <w:rPr>
          <w:rFonts w:ascii="Times New Roman" w:eastAsia="Arial" w:hAnsi="Times New Roman" w:cs="Times New Roman"/>
          <w:b/>
          <w:sz w:val="24"/>
          <w:szCs w:val="24"/>
        </w:rPr>
      </w:pPr>
    </w:p>
    <w:p w14:paraId="02A2EBF8" w14:textId="77777777" w:rsidR="008A7972" w:rsidRDefault="008A7972" w:rsidP="008A7972">
      <w:pPr>
        <w:rPr>
          <w:rFonts w:ascii="Times New Roman" w:eastAsia="Arial" w:hAnsi="Times New Roman" w:cs="Times New Roman"/>
          <w:b/>
          <w:sz w:val="24"/>
          <w:szCs w:val="24"/>
        </w:rPr>
      </w:pPr>
    </w:p>
    <w:p w14:paraId="1129E235" w14:textId="77777777" w:rsidR="008A7972" w:rsidRDefault="008A7972" w:rsidP="008A7972">
      <w:pPr>
        <w:rPr>
          <w:rFonts w:ascii="Times New Roman" w:eastAsia="Arial" w:hAnsi="Times New Roman" w:cs="Times New Roman"/>
          <w:b/>
          <w:sz w:val="24"/>
          <w:szCs w:val="24"/>
        </w:rPr>
      </w:pPr>
    </w:p>
    <w:p w14:paraId="088B7D47" w14:textId="77777777" w:rsidR="008A7972" w:rsidRDefault="008A7972" w:rsidP="008A7972">
      <w:pPr>
        <w:rPr>
          <w:rFonts w:ascii="Times New Roman" w:eastAsia="Arial" w:hAnsi="Times New Roman" w:cs="Times New Roman"/>
          <w:b/>
          <w:sz w:val="24"/>
          <w:szCs w:val="24"/>
        </w:rPr>
      </w:pPr>
    </w:p>
    <w:p w14:paraId="5E0D5FF1" w14:textId="77777777" w:rsidR="008A7972" w:rsidRDefault="008A7972" w:rsidP="008A7972">
      <w:pPr>
        <w:rPr>
          <w:rFonts w:ascii="Times New Roman" w:eastAsia="Arial" w:hAnsi="Times New Roman" w:cs="Times New Roman"/>
          <w:b/>
          <w:sz w:val="24"/>
          <w:szCs w:val="24"/>
        </w:rPr>
      </w:pPr>
    </w:p>
    <w:p w14:paraId="5D2032BC" w14:textId="77777777" w:rsidR="008A7972" w:rsidRDefault="008A7972" w:rsidP="008A7972">
      <w:pPr>
        <w:rPr>
          <w:rFonts w:ascii="Times New Roman" w:eastAsia="Arial" w:hAnsi="Times New Roman" w:cs="Times New Roman"/>
          <w:b/>
          <w:sz w:val="24"/>
          <w:szCs w:val="24"/>
        </w:rPr>
      </w:pPr>
    </w:p>
    <w:p w14:paraId="434D6686" w14:textId="77777777" w:rsidR="008A7972" w:rsidRDefault="008A7972" w:rsidP="008A7972">
      <w:pPr>
        <w:rPr>
          <w:rFonts w:ascii="Times New Roman" w:eastAsia="Arial" w:hAnsi="Times New Roman" w:cs="Times New Roman"/>
          <w:b/>
          <w:sz w:val="24"/>
          <w:szCs w:val="24"/>
        </w:rPr>
      </w:pPr>
    </w:p>
    <w:p w14:paraId="770B3E91" w14:textId="77777777" w:rsidR="008A7972" w:rsidRDefault="008A7972" w:rsidP="008A7972">
      <w:pPr>
        <w:rPr>
          <w:rFonts w:ascii="Times New Roman" w:eastAsia="Arial" w:hAnsi="Times New Roman" w:cs="Times New Roman"/>
          <w:b/>
          <w:sz w:val="24"/>
          <w:szCs w:val="24"/>
        </w:rPr>
      </w:pPr>
    </w:p>
    <w:p w14:paraId="222D6A14" w14:textId="66BD6B7F" w:rsidR="008A7972" w:rsidRPr="00B42DC9" w:rsidRDefault="008A7972" w:rsidP="00B42DC9">
      <w:pPr>
        <w:pStyle w:val="Ttulo1"/>
        <w:spacing w:before="0" w:after="0"/>
        <w:rPr>
          <w:rFonts w:ascii="Times New Roman" w:hAnsi="Times New Roman" w:cs="Times New Roman"/>
          <w:b/>
          <w:bCs/>
          <w:color w:val="auto"/>
          <w:sz w:val="24"/>
          <w:szCs w:val="24"/>
        </w:rPr>
      </w:pPr>
      <w:bookmarkStart w:id="3" w:name="_Toc201336653"/>
      <w:r w:rsidRPr="00B42DC9">
        <w:rPr>
          <w:rFonts w:ascii="Times New Roman" w:hAnsi="Times New Roman" w:cs="Times New Roman"/>
          <w:b/>
          <w:bCs/>
          <w:color w:val="auto"/>
          <w:sz w:val="24"/>
          <w:szCs w:val="24"/>
        </w:rPr>
        <w:lastRenderedPageBreak/>
        <w:t>1. INTRODUÇÃO</w:t>
      </w:r>
      <w:bookmarkEnd w:id="3"/>
    </w:p>
    <w:p w14:paraId="6C71943E" w14:textId="77777777" w:rsidR="008A7972" w:rsidRDefault="008A7972" w:rsidP="00422F19">
      <w:pPr>
        <w:spacing w:after="0" w:line="276" w:lineRule="auto"/>
        <w:rPr>
          <w:rFonts w:ascii="Times New Roman" w:eastAsia="Arial" w:hAnsi="Times New Roman" w:cs="Times New Roman"/>
          <w:b/>
          <w:sz w:val="24"/>
          <w:szCs w:val="24"/>
        </w:rPr>
      </w:pPr>
    </w:p>
    <w:p w14:paraId="005A47F1" w14:textId="4D9D48BF" w:rsidR="00711FC3" w:rsidRDefault="00711FC3" w:rsidP="00711FC3">
      <w:pPr>
        <w:spacing w:after="0" w:line="360" w:lineRule="auto"/>
        <w:ind w:firstLine="708"/>
        <w:jc w:val="both"/>
        <w:rPr>
          <w:rFonts w:ascii="Times New Roman" w:eastAsia="Arial" w:hAnsi="Times New Roman" w:cs="Times New Roman"/>
          <w:bCs/>
          <w:sz w:val="24"/>
          <w:szCs w:val="24"/>
        </w:rPr>
      </w:pPr>
      <w:r w:rsidRPr="00711FC3">
        <w:rPr>
          <w:rFonts w:ascii="Times New Roman" w:eastAsia="Arial" w:hAnsi="Times New Roman" w:cs="Times New Roman"/>
          <w:bCs/>
          <w:sz w:val="24"/>
          <w:szCs w:val="24"/>
        </w:rPr>
        <w:t xml:space="preserve">Nos últimos </w:t>
      </w:r>
      <w:r w:rsidR="00317884">
        <w:rPr>
          <w:rFonts w:ascii="Times New Roman" w:eastAsia="Arial" w:hAnsi="Times New Roman" w:cs="Times New Roman"/>
          <w:bCs/>
          <w:sz w:val="24"/>
          <w:szCs w:val="24"/>
        </w:rPr>
        <w:t>anos, o</w:t>
      </w:r>
      <w:r w:rsidRPr="00711FC3">
        <w:rPr>
          <w:rFonts w:ascii="Times New Roman" w:eastAsia="Arial" w:hAnsi="Times New Roman" w:cs="Times New Roman"/>
          <w:bCs/>
          <w:sz w:val="24"/>
          <w:szCs w:val="24"/>
        </w:rPr>
        <w:t xml:space="preserve"> Brasil passou por um significativo processo de </w:t>
      </w:r>
      <w:r w:rsidR="00240457">
        <w:rPr>
          <w:rFonts w:ascii="Times New Roman" w:eastAsia="Arial" w:hAnsi="Times New Roman" w:cs="Times New Roman"/>
          <w:bCs/>
          <w:sz w:val="24"/>
          <w:szCs w:val="24"/>
        </w:rPr>
        <w:t>modernização</w:t>
      </w:r>
      <w:r w:rsidRPr="00711FC3">
        <w:rPr>
          <w:rFonts w:ascii="Times New Roman" w:eastAsia="Arial" w:hAnsi="Times New Roman" w:cs="Times New Roman"/>
          <w:bCs/>
          <w:sz w:val="24"/>
          <w:szCs w:val="24"/>
        </w:rPr>
        <w:t xml:space="preserve"> e fortalecimento de suas </w:t>
      </w:r>
      <w:r w:rsidR="00240457">
        <w:rPr>
          <w:rFonts w:ascii="Times New Roman" w:eastAsia="Arial" w:hAnsi="Times New Roman" w:cs="Times New Roman"/>
          <w:bCs/>
          <w:sz w:val="24"/>
          <w:szCs w:val="24"/>
        </w:rPr>
        <w:t>estruturas</w:t>
      </w:r>
      <w:r w:rsidRPr="00711FC3">
        <w:rPr>
          <w:rFonts w:ascii="Times New Roman" w:eastAsia="Arial" w:hAnsi="Times New Roman" w:cs="Times New Roman"/>
          <w:bCs/>
          <w:sz w:val="24"/>
          <w:szCs w:val="24"/>
        </w:rPr>
        <w:t xml:space="preserve"> financeiras</w:t>
      </w:r>
      <w:r w:rsidR="00240457">
        <w:rPr>
          <w:rFonts w:ascii="Times New Roman" w:eastAsia="Arial" w:hAnsi="Times New Roman" w:cs="Times New Roman"/>
          <w:bCs/>
          <w:sz w:val="24"/>
          <w:szCs w:val="24"/>
        </w:rPr>
        <w:t>,</w:t>
      </w:r>
      <w:r w:rsidRPr="00711FC3">
        <w:rPr>
          <w:rFonts w:ascii="Times New Roman" w:eastAsia="Arial" w:hAnsi="Times New Roman" w:cs="Times New Roman"/>
          <w:bCs/>
          <w:sz w:val="24"/>
          <w:szCs w:val="24"/>
        </w:rPr>
        <w:t xml:space="preserve"> impulsionado pela busca crescente por sistemas mais seguros</w:t>
      </w:r>
      <w:r w:rsidR="00240457">
        <w:rPr>
          <w:rFonts w:ascii="Times New Roman" w:eastAsia="Arial" w:hAnsi="Times New Roman" w:cs="Times New Roman"/>
          <w:bCs/>
          <w:sz w:val="24"/>
          <w:szCs w:val="24"/>
        </w:rPr>
        <w:t xml:space="preserve">, </w:t>
      </w:r>
      <w:r w:rsidRPr="00711FC3">
        <w:rPr>
          <w:rFonts w:ascii="Times New Roman" w:eastAsia="Arial" w:hAnsi="Times New Roman" w:cs="Times New Roman"/>
          <w:bCs/>
          <w:sz w:val="24"/>
          <w:szCs w:val="24"/>
        </w:rPr>
        <w:t xml:space="preserve">rápidos e </w:t>
      </w:r>
      <w:r w:rsidR="00240457">
        <w:rPr>
          <w:rFonts w:ascii="Times New Roman" w:eastAsia="Arial" w:hAnsi="Times New Roman" w:cs="Times New Roman"/>
          <w:bCs/>
          <w:sz w:val="24"/>
          <w:szCs w:val="24"/>
        </w:rPr>
        <w:t>integrados</w:t>
      </w:r>
      <w:r w:rsidRPr="00711FC3">
        <w:rPr>
          <w:rFonts w:ascii="Times New Roman" w:eastAsia="Arial" w:hAnsi="Times New Roman" w:cs="Times New Roman"/>
          <w:bCs/>
          <w:sz w:val="24"/>
          <w:szCs w:val="24"/>
        </w:rPr>
        <w:t xml:space="preserve"> entre si. Dentro desse contexto</w:t>
      </w:r>
      <w:r w:rsidR="00240457">
        <w:rPr>
          <w:rFonts w:ascii="Times New Roman" w:eastAsia="Arial" w:hAnsi="Times New Roman" w:cs="Times New Roman"/>
          <w:bCs/>
          <w:sz w:val="24"/>
          <w:szCs w:val="24"/>
        </w:rPr>
        <w:t>,</w:t>
      </w:r>
      <w:r w:rsidRPr="00711FC3">
        <w:rPr>
          <w:rFonts w:ascii="Times New Roman" w:eastAsia="Arial" w:hAnsi="Times New Roman" w:cs="Times New Roman"/>
          <w:bCs/>
          <w:sz w:val="24"/>
          <w:szCs w:val="24"/>
        </w:rPr>
        <w:t xml:space="preserve"> tanto o Sistema Financeiro Nacional </w:t>
      </w:r>
      <w:r w:rsidR="00240457">
        <w:rPr>
          <w:rFonts w:ascii="Times New Roman" w:eastAsia="Arial" w:hAnsi="Times New Roman" w:cs="Times New Roman"/>
          <w:bCs/>
          <w:sz w:val="24"/>
          <w:szCs w:val="24"/>
        </w:rPr>
        <w:t>(</w:t>
      </w:r>
      <w:r w:rsidRPr="00711FC3">
        <w:rPr>
          <w:rFonts w:ascii="Times New Roman" w:eastAsia="Arial" w:hAnsi="Times New Roman" w:cs="Times New Roman"/>
          <w:bCs/>
          <w:sz w:val="24"/>
          <w:szCs w:val="24"/>
        </w:rPr>
        <w:t>SFN</w:t>
      </w:r>
      <w:r w:rsidR="00240457">
        <w:rPr>
          <w:rFonts w:ascii="Times New Roman" w:eastAsia="Arial" w:hAnsi="Times New Roman" w:cs="Times New Roman"/>
          <w:bCs/>
          <w:sz w:val="24"/>
          <w:szCs w:val="24"/>
        </w:rPr>
        <w:t>)</w:t>
      </w:r>
      <w:r w:rsidRPr="00711FC3">
        <w:rPr>
          <w:rFonts w:ascii="Times New Roman" w:eastAsia="Arial" w:hAnsi="Times New Roman" w:cs="Times New Roman"/>
          <w:bCs/>
          <w:sz w:val="24"/>
          <w:szCs w:val="24"/>
        </w:rPr>
        <w:t xml:space="preserve"> quanto o Sistema de Pagamentos Brasileiro </w:t>
      </w:r>
      <w:r w:rsidR="00063FD5">
        <w:rPr>
          <w:rFonts w:ascii="Times New Roman" w:eastAsia="Arial" w:hAnsi="Times New Roman" w:cs="Times New Roman"/>
          <w:bCs/>
          <w:sz w:val="24"/>
          <w:szCs w:val="24"/>
        </w:rPr>
        <w:t>(</w:t>
      </w:r>
      <w:r w:rsidRPr="00711FC3">
        <w:rPr>
          <w:rFonts w:ascii="Times New Roman" w:eastAsia="Arial" w:hAnsi="Times New Roman" w:cs="Times New Roman"/>
          <w:bCs/>
          <w:sz w:val="24"/>
          <w:szCs w:val="24"/>
        </w:rPr>
        <w:t>SPB</w:t>
      </w:r>
      <w:r w:rsidR="00063FD5">
        <w:rPr>
          <w:rFonts w:ascii="Times New Roman" w:eastAsia="Arial" w:hAnsi="Times New Roman" w:cs="Times New Roman"/>
          <w:bCs/>
          <w:sz w:val="24"/>
          <w:szCs w:val="24"/>
        </w:rPr>
        <w:t>)</w:t>
      </w:r>
      <w:r w:rsidRPr="00711FC3">
        <w:rPr>
          <w:rFonts w:ascii="Times New Roman" w:eastAsia="Arial" w:hAnsi="Times New Roman" w:cs="Times New Roman"/>
          <w:bCs/>
          <w:sz w:val="24"/>
          <w:szCs w:val="24"/>
        </w:rPr>
        <w:t xml:space="preserve"> s</w:t>
      </w:r>
      <w:r w:rsidR="00063FD5">
        <w:rPr>
          <w:rFonts w:ascii="Times New Roman" w:eastAsia="Arial" w:hAnsi="Times New Roman" w:cs="Times New Roman"/>
          <w:bCs/>
          <w:sz w:val="24"/>
          <w:szCs w:val="24"/>
        </w:rPr>
        <w:t>ão</w:t>
      </w:r>
      <w:r w:rsidRPr="00711FC3">
        <w:rPr>
          <w:rFonts w:ascii="Times New Roman" w:eastAsia="Arial" w:hAnsi="Times New Roman" w:cs="Times New Roman"/>
          <w:bCs/>
          <w:sz w:val="24"/>
          <w:szCs w:val="24"/>
        </w:rPr>
        <w:t xml:space="preserve"> peças fundamentais para </w:t>
      </w:r>
      <w:r w:rsidR="002B3EA1">
        <w:rPr>
          <w:rFonts w:ascii="Times New Roman" w:eastAsia="Arial" w:hAnsi="Times New Roman" w:cs="Times New Roman"/>
          <w:bCs/>
          <w:sz w:val="24"/>
          <w:szCs w:val="24"/>
        </w:rPr>
        <w:t xml:space="preserve">conferir eficiência aos </w:t>
      </w:r>
      <w:r w:rsidR="002B3EA1" w:rsidRPr="002B3EA1">
        <w:rPr>
          <w:rFonts w:ascii="Times New Roman" w:eastAsia="Arial" w:hAnsi="Times New Roman" w:cs="Times New Roman"/>
          <w:bCs/>
          <w:sz w:val="24"/>
          <w:szCs w:val="24"/>
        </w:rPr>
        <w:t>fluxos monetários entre os que dispõem de recursos financeiros e os que deles carecem para suas atividades de produção ou de consumo</w:t>
      </w:r>
      <w:r w:rsidRPr="00711FC3">
        <w:rPr>
          <w:rFonts w:ascii="Times New Roman" w:eastAsia="Arial" w:hAnsi="Times New Roman" w:cs="Times New Roman"/>
          <w:bCs/>
          <w:sz w:val="24"/>
          <w:szCs w:val="24"/>
        </w:rPr>
        <w:t xml:space="preserve">. </w:t>
      </w:r>
    </w:p>
    <w:p w14:paraId="126241B4" w14:textId="7B46AC36" w:rsidR="007C690B" w:rsidRDefault="007C690B" w:rsidP="00711FC3">
      <w:pPr>
        <w:spacing w:after="0" w:line="360" w:lineRule="auto"/>
        <w:ind w:firstLine="708"/>
        <w:jc w:val="both"/>
        <w:rPr>
          <w:rFonts w:ascii="Times New Roman" w:eastAsia="Arial" w:hAnsi="Times New Roman" w:cs="Times New Roman"/>
          <w:bCs/>
          <w:sz w:val="24"/>
          <w:szCs w:val="24"/>
        </w:rPr>
      </w:pPr>
      <w:r>
        <w:rPr>
          <w:rFonts w:ascii="Times New Roman" w:eastAsia="Arial" w:hAnsi="Times New Roman" w:cs="Times New Roman"/>
          <w:bCs/>
          <w:sz w:val="24"/>
          <w:szCs w:val="24"/>
        </w:rPr>
        <w:t>Segundo Assaf Neto</w:t>
      </w:r>
      <w:r w:rsidR="00F94A22">
        <w:rPr>
          <w:rFonts w:ascii="Times New Roman" w:eastAsia="Arial" w:hAnsi="Times New Roman" w:cs="Times New Roman"/>
          <w:bCs/>
          <w:sz w:val="24"/>
          <w:szCs w:val="24"/>
        </w:rPr>
        <w:t xml:space="preserve"> (2025), </w:t>
      </w:r>
      <w:r w:rsidR="00C320EC">
        <w:rPr>
          <w:rFonts w:ascii="Times New Roman" w:eastAsia="Arial" w:hAnsi="Times New Roman" w:cs="Times New Roman"/>
          <w:bCs/>
          <w:sz w:val="24"/>
          <w:szCs w:val="24"/>
        </w:rPr>
        <w:t xml:space="preserve">o </w:t>
      </w:r>
      <w:r w:rsidR="00C320EC" w:rsidRPr="00C320EC">
        <w:rPr>
          <w:rFonts w:ascii="Times New Roman" w:eastAsia="Arial" w:hAnsi="Times New Roman" w:cs="Times New Roman"/>
          <w:bCs/>
          <w:sz w:val="24"/>
          <w:szCs w:val="24"/>
        </w:rPr>
        <w:t>Sistema Financeiro Nacional pode ser entendido como um conjunto de instituições financeiras e instrumentos financeiros que visam, em última análise, transferir recursos dos agentes econômicos (pessoas, empresas, Governo) superavitários para os deficitários</w:t>
      </w:r>
      <w:r w:rsidR="00C320EC">
        <w:rPr>
          <w:rFonts w:ascii="Times New Roman" w:eastAsia="Arial" w:hAnsi="Times New Roman" w:cs="Times New Roman"/>
          <w:bCs/>
          <w:sz w:val="24"/>
          <w:szCs w:val="24"/>
        </w:rPr>
        <w:t>. Enquanto isso, para Cohen (2023), o Sistema de Pagamentos Brasileiro</w:t>
      </w:r>
      <w:r w:rsidR="00FD35BF">
        <w:rPr>
          <w:rFonts w:ascii="Times New Roman" w:eastAsia="Arial" w:hAnsi="Times New Roman" w:cs="Times New Roman"/>
          <w:bCs/>
          <w:sz w:val="24"/>
          <w:szCs w:val="24"/>
        </w:rPr>
        <w:t xml:space="preserve">, </w:t>
      </w:r>
      <w:r w:rsidR="00D208FE">
        <w:rPr>
          <w:rFonts w:ascii="Times New Roman" w:eastAsia="Arial" w:hAnsi="Times New Roman" w:cs="Times New Roman"/>
          <w:bCs/>
          <w:sz w:val="24"/>
          <w:szCs w:val="24"/>
        </w:rPr>
        <w:t xml:space="preserve">instituído pela Lei nº 12.865/2013, </w:t>
      </w:r>
      <w:r w:rsidR="00004F76">
        <w:rPr>
          <w:rFonts w:ascii="Times New Roman" w:eastAsia="Arial" w:hAnsi="Times New Roman" w:cs="Times New Roman"/>
          <w:bCs/>
          <w:sz w:val="24"/>
          <w:szCs w:val="24"/>
        </w:rPr>
        <w:t xml:space="preserve">corresponde </w:t>
      </w:r>
      <w:r w:rsidR="005A3E8B">
        <w:rPr>
          <w:rFonts w:ascii="Times New Roman" w:eastAsia="Arial" w:hAnsi="Times New Roman" w:cs="Times New Roman"/>
          <w:bCs/>
          <w:sz w:val="24"/>
          <w:szCs w:val="24"/>
        </w:rPr>
        <w:t xml:space="preserve">às instituições e arranjos de pagamento, </w:t>
      </w:r>
      <w:r w:rsidR="00004F76">
        <w:rPr>
          <w:rFonts w:ascii="Times New Roman" w:eastAsia="Arial" w:hAnsi="Times New Roman" w:cs="Times New Roman"/>
          <w:bCs/>
          <w:sz w:val="24"/>
          <w:szCs w:val="24"/>
        </w:rPr>
        <w:t xml:space="preserve">indispensáveis à oferta, distribuição </w:t>
      </w:r>
      <w:r w:rsidR="008A3E16">
        <w:rPr>
          <w:rFonts w:ascii="Times New Roman" w:eastAsia="Arial" w:hAnsi="Times New Roman" w:cs="Times New Roman"/>
          <w:bCs/>
          <w:sz w:val="24"/>
          <w:szCs w:val="24"/>
        </w:rPr>
        <w:t>e prestação de serviços eletrônicos de pagamento</w:t>
      </w:r>
      <w:r w:rsidR="00E24627">
        <w:rPr>
          <w:rFonts w:ascii="Times New Roman" w:eastAsia="Arial" w:hAnsi="Times New Roman" w:cs="Times New Roman"/>
          <w:bCs/>
          <w:sz w:val="24"/>
          <w:szCs w:val="24"/>
        </w:rPr>
        <w:t>.</w:t>
      </w:r>
    </w:p>
    <w:p w14:paraId="0CBE1B17" w14:textId="4EF7E985" w:rsidR="00C835B2" w:rsidRDefault="00711FC3" w:rsidP="00CB3887">
      <w:pPr>
        <w:spacing w:after="0" w:line="360" w:lineRule="auto"/>
        <w:ind w:firstLine="708"/>
        <w:jc w:val="both"/>
        <w:rPr>
          <w:rFonts w:ascii="Times New Roman" w:eastAsia="Arial" w:hAnsi="Times New Roman" w:cs="Times New Roman"/>
          <w:bCs/>
          <w:sz w:val="24"/>
          <w:szCs w:val="24"/>
        </w:rPr>
      </w:pPr>
      <w:r w:rsidRPr="00711FC3">
        <w:rPr>
          <w:rFonts w:ascii="Times New Roman" w:eastAsia="Arial" w:hAnsi="Times New Roman" w:cs="Times New Roman"/>
          <w:bCs/>
          <w:sz w:val="24"/>
          <w:szCs w:val="24"/>
        </w:rPr>
        <w:t xml:space="preserve">Enquanto o SFN tem como principal </w:t>
      </w:r>
      <w:r w:rsidR="00BE375B">
        <w:rPr>
          <w:rFonts w:ascii="Times New Roman" w:eastAsia="Arial" w:hAnsi="Times New Roman" w:cs="Times New Roman"/>
          <w:bCs/>
          <w:sz w:val="24"/>
          <w:szCs w:val="24"/>
        </w:rPr>
        <w:t>função a regulação, supervisão e intermediação de</w:t>
      </w:r>
      <w:r w:rsidRPr="00711FC3">
        <w:rPr>
          <w:rFonts w:ascii="Times New Roman" w:eastAsia="Arial" w:hAnsi="Times New Roman" w:cs="Times New Roman"/>
          <w:bCs/>
          <w:sz w:val="24"/>
          <w:szCs w:val="24"/>
        </w:rPr>
        <w:t xml:space="preserve"> operações financeiras</w:t>
      </w:r>
      <w:r w:rsidR="00BE375B">
        <w:rPr>
          <w:rFonts w:ascii="Times New Roman" w:eastAsia="Arial" w:hAnsi="Times New Roman" w:cs="Times New Roman"/>
          <w:bCs/>
          <w:sz w:val="24"/>
          <w:szCs w:val="24"/>
        </w:rPr>
        <w:t>,</w:t>
      </w:r>
      <w:r w:rsidRPr="00711FC3">
        <w:rPr>
          <w:rFonts w:ascii="Times New Roman" w:eastAsia="Arial" w:hAnsi="Times New Roman" w:cs="Times New Roman"/>
          <w:bCs/>
          <w:sz w:val="24"/>
          <w:szCs w:val="24"/>
        </w:rPr>
        <w:t xml:space="preserve"> o SPB se destaca como o componente fundamental para garantir a eficiente liquidação das transações financeiras</w:t>
      </w:r>
      <w:r w:rsidR="00BE375B">
        <w:rPr>
          <w:rFonts w:ascii="Times New Roman" w:eastAsia="Arial" w:hAnsi="Times New Roman" w:cs="Times New Roman"/>
          <w:bCs/>
          <w:sz w:val="24"/>
          <w:szCs w:val="24"/>
        </w:rPr>
        <w:t>, de forma a</w:t>
      </w:r>
      <w:r w:rsidRPr="00711FC3">
        <w:rPr>
          <w:rFonts w:ascii="Times New Roman" w:eastAsia="Arial" w:hAnsi="Times New Roman" w:cs="Times New Roman"/>
          <w:bCs/>
          <w:sz w:val="24"/>
          <w:szCs w:val="24"/>
        </w:rPr>
        <w:t xml:space="preserve"> facilitar a circulação de recursos entre os agentes econômicos. Apesar de </w:t>
      </w:r>
      <w:r w:rsidR="004823D0">
        <w:rPr>
          <w:rFonts w:ascii="Times New Roman" w:eastAsia="Arial" w:hAnsi="Times New Roman" w:cs="Times New Roman"/>
          <w:bCs/>
          <w:sz w:val="24"/>
          <w:szCs w:val="24"/>
        </w:rPr>
        <w:t xml:space="preserve">envolverem agentes distintos, ambos os sistemas </w:t>
      </w:r>
      <w:r w:rsidR="00151ECD">
        <w:rPr>
          <w:rFonts w:ascii="Times New Roman" w:eastAsia="Arial" w:hAnsi="Times New Roman" w:cs="Times New Roman"/>
          <w:bCs/>
          <w:sz w:val="24"/>
          <w:szCs w:val="24"/>
        </w:rPr>
        <w:t xml:space="preserve">buscam </w:t>
      </w:r>
      <w:r w:rsidR="00151ECD" w:rsidRPr="00711FC3">
        <w:rPr>
          <w:rFonts w:ascii="Times New Roman" w:eastAsia="Arial" w:hAnsi="Times New Roman" w:cs="Times New Roman"/>
          <w:bCs/>
          <w:sz w:val="24"/>
          <w:szCs w:val="24"/>
        </w:rPr>
        <w:t>facilitar a circulação de recursos entre os agentes econômicos</w:t>
      </w:r>
      <w:r w:rsidR="00151ECD">
        <w:rPr>
          <w:rFonts w:ascii="Times New Roman" w:eastAsia="Arial" w:hAnsi="Times New Roman" w:cs="Times New Roman"/>
          <w:bCs/>
          <w:sz w:val="24"/>
          <w:szCs w:val="24"/>
        </w:rPr>
        <w:t xml:space="preserve">, contribuindo para </w:t>
      </w:r>
      <w:r w:rsidRPr="00711FC3">
        <w:rPr>
          <w:rFonts w:ascii="Times New Roman" w:eastAsia="Arial" w:hAnsi="Times New Roman" w:cs="Times New Roman"/>
          <w:bCs/>
          <w:sz w:val="24"/>
          <w:szCs w:val="24"/>
        </w:rPr>
        <w:t>o correto funcionamento da economia nacional.</w:t>
      </w:r>
    </w:p>
    <w:p w14:paraId="77191CA4" w14:textId="29F8DA6E" w:rsidR="000D37A3" w:rsidRDefault="000D37A3" w:rsidP="00422F19">
      <w:pPr>
        <w:spacing w:after="0" w:line="360" w:lineRule="auto"/>
        <w:ind w:firstLine="708"/>
        <w:jc w:val="both"/>
        <w:rPr>
          <w:rFonts w:ascii="Times New Roman" w:eastAsia="Arial" w:hAnsi="Times New Roman" w:cs="Times New Roman"/>
          <w:bCs/>
          <w:sz w:val="24"/>
          <w:szCs w:val="24"/>
        </w:rPr>
      </w:pPr>
      <w:r w:rsidRPr="000D37A3">
        <w:rPr>
          <w:rFonts w:ascii="Times New Roman" w:eastAsia="Arial" w:hAnsi="Times New Roman" w:cs="Times New Roman"/>
          <w:bCs/>
          <w:sz w:val="24"/>
          <w:szCs w:val="24"/>
        </w:rPr>
        <w:t>Esses sistemas não apenas garantem que as operações econômicas ocorram de forma eficiente</w:t>
      </w:r>
      <w:r w:rsidR="00E31A12">
        <w:rPr>
          <w:rFonts w:ascii="Times New Roman" w:eastAsia="Arial" w:hAnsi="Times New Roman" w:cs="Times New Roman"/>
          <w:bCs/>
          <w:sz w:val="24"/>
          <w:szCs w:val="24"/>
        </w:rPr>
        <w:t>, mas</w:t>
      </w:r>
      <w:r w:rsidRPr="000D37A3">
        <w:rPr>
          <w:rFonts w:ascii="Times New Roman" w:eastAsia="Arial" w:hAnsi="Times New Roman" w:cs="Times New Roman"/>
          <w:bCs/>
          <w:sz w:val="24"/>
          <w:szCs w:val="24"/>
        </w:rPr>
        <w:t xml:space="preserve"> também fortalecem o sistema financeiro como um todo ao promover estabilidade monetária e facilitar o crédito e os investimentos. Em um cenário de rápida transformação digital atualmente em curso,</w:t>
      </w:r>
      <w:r>
        <w:rPr>
          <w:rFonts w:ascii="Times New Roman" w:eastAsia="Arial" w:hAnsi="Times New Roman" w:cs="Times New Roman"/>
          <w:bCs/>
          <w:sz w:val="24"/>
          <w:szCs w:val="24"/>
        </w:rPr>
        <w:t xml:space="preserve"> </w:t>
      </w:r>
      <w:r w:rsidRPr="000D37A3">
        <w:rPr>
          <w:rFonts w:ascii="Times New Roman" w:eastAsia="Arial" w:hAnsi="Times New Roman" w:cs="Times New Roman"/>
          <w:bCs/>
          <w:sz w:val="24"/>
          <w:szCs w:val="24"/>
        </w:rPr>
        <w:t>a colaboração entre essas áreas tornou-se ainda mais crucial com o surgimento de tecnologias emergentes</w:t>
      </w:r>
      <w:r w:rsidR="006729F2">
        <w:rPr>
          <w:rFonts w:ascii="Times New Roman" w:eastAsia="Arial" w:hAnsi="Times New Roman" w:cs="Times New Roman"/>
          <w:bCs/>
          <w:sz w:val="24"/>
          <w:szCs w:val="24"/>
        </w:rPr>
        <w:t>,</w:t>
      </w:r>
      <w:r w:rsidRPr="000D37A3">
        <w:rPr>
          <w:rFonts w:ascii="Times New Roman" w:eastAsia="Arial" w:hAnsi="Times New Roman" w:cs="Times New Roman"/>
          <w:bCs/>
          <w:sz w:val="24"/>
          <w:szCs w:val="24"/>
        </w:rPr>
        <w:t xml:space="preserve"> como o </w:t>
      </w:r>
      <w:r w:rsidR="006729F2">
        <w:rPr>
          <w:rFonts w:ascii="Times New Roman" w:eastAsia="Arial" w:hAnsi="Times New Roman" w:cs="Times New Roman"/>
          <w:bCs/>
          <w:sz w:val="24"/>
          <w:szCs w:val="24"/>
        </w:rPr>
        <w:t xml:space="preserve">caso do </w:t>
      </w:r>
      <w:r w:rsidRPr="000D37A3">
        <w:rPr>
          <w:rFonts w:ascii="Times New Roman" w:eastAsia="Arial" w:hAnsi="Times New Roman" w:cs="Times New Roman"/>
          <w:bCs/>
          <w:sz w:val="24"/>
          <w:szCs w:val="24"/>
        </w:rPr>
        <w:t>Pix no Brasil</w:t>
      </w:r>
      <w:r w:rsidR="004050D0">
        <w:rPr>
          <w:rFonts w:ascii="Times New Roman" w:eastAsia="Arial" w:hAnsi="Times New Roman" w:cs="Times New Roman"/>
          <w:bCs/>
          <w:sz w:val="24"/>
          <w:szCs w:val="24"/>
        </w:rPr>
        <w:t xml:space="preserve">, </w:t>
      </w:r>
      <w:r w:rsidR="006729F2">
        <w:rPr>
          <w:rFonts w:ascii="Times New Roman" w:eastAsia="Arial" w:hAnsi="Times New Roman" w:cs="Times New Roman"/>
          <w:bCs/>
          <w:sz w:val="24"/>
          <w:szCs w:val="24"/>
        </w:rPr>
        <w:t xml:space="preserve">as quais </w:t>
      </w:r>
      <w:r w:rsidRPr="000D37A3">
        <w:rPr>
          <w:rFonts w:ascii="Times New Roman" w:eastAsia="Arial" w:hAnsi="Times New Roman" w:cs="Times New Roman"/>
          <w:bCs/>
          <w:sz w:val="24"/>
          <w:szCs w:val="24"/>
        </w:rPr>
        <w:t>estão ampliando o acesso da população aos serviços financeiros e redesenhando os padrões de pagamento no país. Integrar esses dois sistemas é essencial para compreender o cenário econômico atual de forma abrangente e para desenvolver políticas regulatórias</w:t>
      </w:r>
      <w:r w:rsidR="006729F2">
        <w:rPr>
          <w:rFonts w:ascii="Times New Roman" w:eastAsia="Arial" w:hAnsi="Times New Roman" w:cs="Times New Roman"/>
          <w:bCs/>
          <w:sz w:val="24"/>
          <w:szCs w:val="24"/>
        </w:rPr>
        <w:t xml:space="preserve">, </w:t>
      </w:r>
      <w:r w:rsidRPr="000D37A3">
        <w:rPr>
          <w:rFonts w:ascii="Times New Roman" w:eastAsia="Arial" w:hAnsi="Times New Roman" w:cs="Times New Roman"/>
          <w:bCs/>
          <w:sz w:val="24"/>
          <w:szCs w:val="24"/>
        </w:rPr>
        <w:t>sem prejudicar o funcionamento seguro e eficiente do sistema.</w:t>
      </w:r>
    </w:p>
    <w:p w14:paraId="161707FB" w14:textId="4EA1F931" w:rsidR="008A7972" w:rsidRDefault="004413EA" w:rsidP="00E24627">
      <w:pPr>
        <w:spacing w:after="0" w:line="360" w:lineRule="auto"/>
        <w:ind w:firstLine="708"/>
        <w:jc w:val="both"/>
        <w:rPr>
          <w:rFonts w:ascii="Times New Roman" w:eastAsia="Arial" w:hAnsi="Times New Roman" w:cs="Times New Roman"/>
          <w:bCs/>
          <w:sz w:val="24"/>
          <w:szCs w:val="24"/>
        </w:rPr>
      </w:pPr>
      <w:r w:rsidRPr="004413EA">
        <w:rPr>
          <w:rFonts w:ascii="Times New Roman" w:eastAsia="Arial" w:hAnsi="Times New Roman" w:cs="Times New Roman"/>
          <w:bCs/>
          <w:sz w:val="24"/>
          <w:szCs w:val="24"/>
        </w:rPr>
        <w:t xml:space="preserve">Portanto, este estudo tem como objetivo investigar essa interdependência, destacando como a colaboração entre os sistemas financeiros e de pagamentos </w:t>
      </w:r>
      <w:r w:rsidRPr="004413EA">
        <w:rPr>
          <w:rFonts w:ascii="Times New Roman" w:eastAsia="Arial" w:hAnsi="Times New Roman" w:cs="Times New Roman"/>
          <w:bCs/>
          <w:sz w:val="24"/>
          <w:szCs w:val="24"/>
        </w:rPr>
        <w:lastRenderedPageBreak/>
        <w:t>impulsiona</w:t>
      </w:r>
      <w:r>
        <w:rPr>
          <w:rFonts w:ascii="Times New Roman" w:eastAsia="Arial" w:hAnsi="Times New Roman" w:cs="Times New Roman"/>
          <w:bCs/>
          <w:sz w:val="24"/>
          <w:szCs w:val="24"/>
        </w:rPr>
        <w:t>m</w:t>
      </w:r>
      <w:r w:rsidRPr="004413EA">
        <w:rPr>
          <w:rFonts w:ascii="Times New Roman" w:eastAsia="Arial" w:hAnsi="Times New Roman" w:cs="Times New Roman"/>
          <w:bCs/>
          <w:sz w:val="24"/>
          <w:szCs w:val="24"/>
        </w:rPr>
        <w:t xml:space="preserve"> o crescimento econômico do país </w:t>
      </w:r>
      <w:r w:rsidR="00005E92" w:rsidRPr="00005E92">
        <w:rPr>
          <w:rFonts w:ascii="Times New Roman" w:eastAsia="Arial" w:hAnsi="Times New Roman" w:cs="Times New Roman"/>
          <w:bCs/>
          <w:sz w:val="24"/>
          <w:szCs w:val="24"/>
        </w:rPr>
        <w:t>e atende às exigências de uma sociedade cada vez mais digitalizada.</w:t>
      </w:r>
    </w:p>
    <w:p w14:paraId="3C20E95B" w14:textId="77777777" w:rsidR="00DF6513" w:rsidRPr="00E24627" w:rsidRDefault="00DF6513" w:rsidP="00E24627">
      <w:pPr>
        <w:spacing w:after="0" w:line="360" w:lineRule="auto"/>
        <w:ind w:firstLine="708"/>
        <w:jc w:val="both"/>
        <w:rPr>
          <w:rFonts w:ascii="Times New Roman" w:eastAsia="Arial" w:hAnsi="Times New Roman" w:cs="Times New Roman"/>
          <w:bCs/>
          <w:sz w:val="24"/>
          <w:szCs w:val="24"/>
        </w:rPr>
      </w:pPr>
    </w:p>
    <w:p w14:paraId="313EBFD3" w14:textId="52184F96" w:rsidR="008A7972" w:rsidRPr="00B42DC9" w:rsidRDefault="008A7972" w:rsidP="00B42DC9">
      <w:pPr>
        <w:pStyle w:val="Ttulo1"/>
        <w:spacing w:before="0" w:after="0"/>
        <w:rPr>
          <w:rFonts w:ascii="Times New Roman" w:hAnsi="Times New Roman" w:cs="Times New Roman"/>
          <w:b/>
          <w:bCs/>
          <w:color w:val="auto"/>
          <w:sz w:val="24"/>
          <w:szCs w:val="24"/>
        </w:rPr>
      </w:pPr>
      <w:bookmarkStart w:id="4" w:name="_Toc201336654"/>
      <w:r w:rsidRPr="00B42DC9">
        <w:rPr>
          <w:rFonts w:ascii="Times New Roman" w:hAnsi="Times New Roman" w:cs="Times New Roman"/>
          <w:b/>
          <w:bCs/>
          <w:color w:val="auto"/>
          <w:sz w:val="24"/>
          <w:szCs w:val="24"/>
        </w:rPr>
        <w:t>2. REFERENCIAL TEÓRICO</w:t>
      </w:r>
      <w:bookmarkEnd w:id="4"/>
    </w:p>
    <w:p w14:paraId="0190CDE5" w14:textId="77777777" w:rsidR="0086497C" w:rsidRDefault="0086497C" w:rsidP="00B42DC9">
      <w:pPr>
        <w:pStyle w:val="Ttulo2"/>
        <w:spacing w:before="0" w:after="0"/>
        <w:rPr>
          <w:rFonts w:ascii="Times New Roman" w:hAnsi="Times New Roman" w:cs="Times New Roman"/>
          <w:b/>
          <w:bCs/>
          <w:color w:val="auto"/>
          <w:sz w:val="24"/>
          <w:szCs w:val="24"/>
        </w:rPr>
      </w:pPr>
    </w:p>
    <w:p w14:paraId="08C0731C" w14:textId="05F570E6" w:rsidR="0086497C" w:rsidRDefault="003A6242" w:rsidP="00B42DC9">
      <w:pPr>
        <w:pStyle w:val="Ttulo2"/>
        <w:spacing w:before="0" w:after="0"/>
        <w:rPr>
          <w:rFonts w:ascii="Times New Roman" w:hAnsi="Times New Roman" w:cs="Times New Roman"/>
          <w:b/>
          <w:bCs/>
          <w:color w:val="auto"/>
          <w:sz w:val="24"/>
          <w:szCs w:val="24"/>
        </w:rPr>
      </w:pPr>
      <w:bookmarkStart w:id="5" w:name="_Toc201336655"/>
      <w:r w:rsidRPr="00B42DC9">
        <w:rPr>
          <w:rFonts w:ascii="Times New Roman" w:hAnsi="Times New Roman" w:cs="Times New Roman"/>
          <w:b/>
          <w:bCs/>
          <w:color w:val="auto"/>
          <w:sz w:val="24"/>
          <w:szCs w:val="24"/>
        </w:rPr>
        <w:t>2.1. Sistema Financeiro Nacional (SFN)</w:t>
      </w:r>
      <w:bookmarkEnd w:id="5"/>
    </w:p>
    <w:p w14:paraId="6A2BD3C7" w14:textId="77777777" w:rsidR="00D61DCB" w:rsidRPr="00D61DCB" w:rsidRDefault="00D61DCB" w:rsidP="00D61DCB">
      <w:pPr>
        <w:spacing w:after="0" w:line="276" w:lineRule="auto"/>
      </w:pPr>
    </w:p>
    <w:p w14:paraId="74EC2FC2" w14:textId="25F4F882" w:rsidR="004D1230" w:rsidRDefault="00D8628C" w:rsidP="00D46B95">
      <w:pPr>
        <w:spacing w:after="0" w:line="360" w:lineRule="auto"/>
        <w:jc w:val="both"/>
        <w:rPr>
          <w:rFonts w:ascii="Times New Roman" w:hAnsi="Times New Roman" w:cs="Times New Roman"/>
          <w:sz w:val="24"/>
          <w:szCs w:val="24"/>
        </w:rPr>
      </w:pPr>
      <w:r w:rsidRPr="003B7506">
        <w:rPr>
          <w:rFonts w:ascii="Times New Roman" w:hAnsi="Times New Roman" w:cs="Times New Roman"/>
          <w:sz w:val="24"/>
          <w:szCs w:val="24"/>
        </w:rPr>
        <w:tab/>
      </w:r>
      <w:r w:rsidR="005C69E0">
        <w:rPr>
          <w:rFonts w:ascii="Times New Roman" w:hAnsi="Times New Roman" w:cs="Times New Roman"/>
          <w:sz w:val="24"/>
          <w:szCs w:val="24"/>
        </w:rPr>
        <w:t xml:space="preserve">De acordo com Pinheiro </w:t>
      </w:r>
      <w:r w:rsidR="001A41C1">
        <w:rPr>
          <w:rFonts w:ascii="Times New Roman" w:hAnsi="Times New Roman" w:cs="Times New Roman"/>
          <w:sz w:val="24"/>
          <w:szCs w:val="24"/>
        </w:rPr>
        <w:t>(2019)</w:t>
      </w:r>
      <w:r w:rsidR="00516EAE">
        <w:rPr>
          <w:rFonts w:ascii="Times New Roman" w:hAnsi="Times New Roman" w:cs="Times New Roman"/>
          <w:sz w:val="24"/>
          <w:szCs w:val="24"/>
        </w:rPr>
        <w:t xml:space="preserve">, </w:t>
      </w:r>
      <w:r w:rsidR="00421A91">
        <w:rPr>
          <w:rFonts w:ascii="Times New Roman" w:hAnsi="Times New Roman" w:cs="Times New Roman"/>
          <w:sz w:val="24"/>
          <w:szCs w:val="24"/>
        </w:rPr>
        <w:t>d</w:t>
      </w:r>
      <w:r w:rsidR="00421A91" w:rsidRPr="00421A91">
        <w:rPr>
          <w:rFonts w:ascii="Times New Roman" w:hAnsi="Times New Roman" w:cs="Times New Roman"/>
          <w:sz w:val="24"/>
          <w:szCs w:val="24"/>
        </w:rPr>
        <w:t>efine-se o sistema financeiro de um país como um conjunto de instituições, instrumentos e mercados agrupados de forma harmônica, com a finalidade de canalizar a poupança das unidades superavitárias até o investimento demandado pelas deficitárias</w:t>
      </w:r>
      <w:r w:rsidR="00421A91">
        <w:rPr>
          <w:rFonts w:ascii="Times New Roman" w:hAnsi="Times New Roman" w:cs="Times New Roman"/>
          <w:sz w:val="24"/>
          <w:szCs w:val="24"/>
        </w:rPr>
        <w:t>. Em outras palavras, é o</w:t>
      </w:r>
      <w:r w:rsidR="004D1230" w:rsidRPr="003B7506">
        <w:rPr>
          <w:rFonts w:ascii="Times New Roman" w:hAnsi="Times New Roman" w:cs="Times New Roman"/>
          <w:sz w:val="24"/>
          <w:szCs w:val="24"/>
        </w:rPr>
        <w:t xml:space="preserve"> conjunto articulado de órgãos normativos, entidades supervisoras, instituições e </w:t>
      </w:r>
      <w:r w:rsidR="009F32A8">
        <w:rPr>
          <w:rFonts w:ascii="Times New Roman" w:hAnsi="Times New Roman" w:cs="Times New Roman"/>
          <w:sz w:val="24"/>
          <w:szCs w:val="24"/>
        </w:rPr>
        <w:t xml:space="preserve">instrumentos financeiros </w:t>
      </w:r>
      <w:r w:rsidR="00E128C5" w:rsidRPr="00E128C5">
        <w:rPr>
          <w:rFonts w:ascii="Times New Roman" w:hAnsi="Times New Roman" w:cs="Times New Roman"/>
          <w:sz w:val="24"/>
          <w:szCs w:val="24"/>
        </w:rPr>
        <w:t>cuja função é transferir os fundos disponíveis dos poupadores, ou seja, aqueles cuja renda é maior do que seus gastos, para investidores, isto é, aqueles cujas oportunidades de gastos são maiores do que sua renda</w:t>
      </w:r>
      <w:r w:rsidR="00D46B95" w:rsidRPr="00D46B95">
        <w:rPr>
          <w:rFonts w:ascii="Times New Roman" w:hAnsi="Times New Roman" w:cs="Times New Roman"/>
          <w:sz w:val="24"/>
          <w:szCs w:val="24"/>
        </w:rPr>
        <w:t>.</w:t>
      </w:r>
    </w:p>
    <w:p w14:paraId="23F1192B" w14:textId="23FD58FE" w:rsidR="004D1230" w:rsidRPr="004D1230" w:rsidRDefault="00071183" w:rsidP="00286F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71183">
        <w:rPr>
          <w:rFonts w:ascii="Times New Roman" w:hAnsi="Times New Roman" w:cs="Times New Roman"/>
          <w:sz w:val="24"/>
          <w:szCs w:val="24"/>
        </w:rPr>
        <w:t>De acordo com Assaf Neto (2012), o</w:t>
      </w:r>
      <w:r>
        <w:rPr>
          <w:rFonts w:ascii="Times New Roman" w:hAnsi="Times New Roman" w:cs="Times New Roman"/>
          <w:sz w:val="24"/>
          <w:szCs w:val="24"/>
        </w:rPr>
        <w:t xml:space="preserve"> </w:t>
      </w:r>
      <w:r w:rsidRPr="00071183">
        <w:rPr>
          <w:rFonts w:ascii="Times New Roman" w:hAnsi="Times New Roman" w:cs="Times New Roman"/>
          <w:sz w:val="24"/>
          <w:szCs w:val="24"/>
        </w:rPr>
        <w:t xml:space="preserve">Sistema Financeiro Nacional </w:t>
      </w:r>
      <w:r w:rsidR="00286FFC" w:rsidRPr="00286FFC">
        <w:rPr>
          <w:rFonts w:ascii="Times New Roman" w:hAnsi="Times New Roman" w:cs="Times New Roman"/>
          <w:sz w:val="24"/>
          <w:szCs w:val="24"/>
        </w:rPr>
        <w:t>pode ser dividido em dois grandes subsistemas: subsistema normativo e subsistema de intermediação financeira (operativo)</w:t>
      </w:r>
      <w:r w:rsidRPr="00071183">
        <w:rPr>
          <w:rFonts w:ascii="Times New Roman" w:hAnsi="Times New Roman" w:cs="Times New Roman"/>
          <w:sz w:val="24"/>
          <w:szCs w:val="24"/>
        </w:rPr>
        <w:t>. O</w:t>
      </w:r>
      <w:r>
        <w:rPr>
          <w:rFonts w:ascii="Times New Roman" w:hAnsi="Times New Roman" w:cs="Times New Roman"/>
          <w:sz w:val="24"/>
          <w:szCs w:val="24"/>
        </w:rPr>
        <w:t xml:space="preserve"> </w:t>
      </w:r>
      <w:r w:rsidRPr="00071183">
        <w:rPr>
          <w:rFonts w:ascii="Times New Roman" w:hAnsi="Times New Roman" w:cs="Times New Roman"/>
          <w:sz w:val="24"/>
          <w:szCs w:val="24"/>
        </w:rPr>
        <w:t xml:space="preserve">subsistema </w:t>
      </w:r>
      <w:r w:rsidR="0033355B">
        <w:rPr>
          <w:rFonts w:ascii="Times New Roman" w:hAnsi="Times New Roman" w:cs="Times New Roman"/>
          <w:sz w:val="24"/>
          <w:szCs w:val="24"/>
        </w:rPr>
        <w:t>normativo</w:t>
      </w:r>
      <w:r w:rsidRPr="00071183">
        <w:rPr>
          <w:rFonts w:ascii="Times New Roman" w:hAnsi="Times New Roman" w:cs="Times New Roman"/>
          <w:sz w:val="24"/>
          <w:szCs w:val="24"/>
        </w:rPr>
        <w:t xml:space="preserve"> se responsabiliza</w:t>
      </w:r>
      <w:r>
        <w:rPr>
          <w:rFonts w:ascii="Times New Roman" w:hAnsi="Times New Roman" w:cs="Times New Roman"/>
          <w:sz w:val="24"/>
          <w:szCs w:val="24"/>
        </w:rPr>
        <w:t xml:space="preserve"> </w:t>
      </w:r>
      <w:r w:rsidRPr="00071183">
        <w:rPr>
          <w:rFonts w:ascii="Times New Roman" w:hAnsi="Times New Roman" w:cs="Times New Roman"/>
          <w:sz w:val="24"/>
          <w:szCs w:val="24"/>
        </w:rPr>
        <w:t>por fazer regras para que se definam</w:t>
      </w:r>
      <w:r>
        <w:rPr>
          <w:rFonts w:ascii="Times New Roman" w:hAnsi="Times New Roman" w:cs="Times New Roman"/>
          <w:sz w:val="24"/>
          <w:szCs w:val="24"/>
        </w:rPr>
        <w:t xml:space="preserve"> </w:t>
      </w:r>
      <w:r w:rsidRPr="00071183">
        <w:rPr>
          <w:rFonts w:ascii="Times New Roman" w:hAnsi="Times New Roman" w:cs="Times New Roman"/>
          <w:sz w:val="24"/>
          <w:szCs w:val="24"/>
        </w:rPr>
        <w:t>parâmetros para transferência de recursos</w:t>
      </w:r>
      <w:r>
        <w:rPr>
          <w:rFonts w:ascii="Times New Roman" w:hAnsi="Times New Roman" w:cs="Times New Roman"/>
          <w:sz w:val="24"/>
          <w:szCs w:val="24"/>
        </w:rPr>
        <w:t xml:space="preserve"> </w:t>
      </w:r>
      <w:r w:rsidRPr="00071183">
        <w:rPr>
          <w:rFonts w:ascii="Times New Roman" w:hAnsi="Times New Roman" w:cs="Times New Roman"/>
          <w:sz w:val="24"/>
          <w:szCs w:val="24"/>
        </w:rPr>
        <w:t>entre uma parte e outra, além de supervisionar</w:t>
      </w:r>
      <w:r>
        <w:rPr>
          <w:rFonts w:ascii="Times New Roman" w:hAnsi="Times New Roman" w:cs="Times New Roman"/>
          <w:sz w:val="24"/>
          <w:szCs w:val="24"/>
        </w:rPr>
        <w:t xml:space="preserve"> </w:t>
      </w:r>
      <w:r w:rsidRPr="00071183">
        <w:rPr>
          <w:rFonts w:ascii="Times New Roman" w:hAnsi="Times New Roman" w:cs="Times New Roman"/>
          <w:sz w:val="24"/>
          <w:szCs w:val="24"/>
        </w:rPr>
        <w:t>o funcionamento de instituições que façam</w:t>
      </w:r>
      <w:r>
        <w:rPr>
          <w:rFonts w:ascii="Times New Roman" w:hAnsi="Times New Roman" w:cs="Times New Roman"/>
          <w:sz w:val="24"/>
          <w:szCs w:val="24"/>
        </w:rPr>
        <w:t xml:space="preserve"> </w:t>
      </w:r>
      <w:r w:rsidRPr="00071183">
        <w:rPr>
          <w:rFonts w:ascii="Times New Roman" w:hAnsi="Times New Roman" w:cs="Times New Roman"/>
          <w:sz w:val="24"/>
          <w:szCs w:val="24"/>
        </w:rPr>
        <w:t>atividade de intermediação monetária.</w:t>
      </w:r>
      <w:r>
        <w:rPr>
          <w:rFonts w:ascii="Times New Roman" w:hAnsi="Times New Roman" w:cs="Times New Roman"/>
          <w:sz w:val="24"/>
          <w:szCs w:val="24"/>
        </w:rPr>
        <w:t xml:space="preserve"> São o</w:t>
      </w:r>
      <w:r w:rsidR="004D1230" w:rsidRPr="004D1230">
        <w:rPr>
          <w:rFonts w:ascii="Times New Roman" w:hAnsi="Times New Roman" w:cs="Times New Roman"/>
          <w:sz w:val="24"/>
          <w:szCs w:val="24"/>
        </w:rPr>
        <w:t>s órgãos normativos</w:t>
      </w:r>
      <w:r>
        <w:rPr>
          <w:rFonts w:ascii="Times New Roman" w:hAnsi="Times New Roman" w:cs="Times New Roman"/>
          <w:sz w:val="24"/>
          <w:szCs w:val="24"/>
        </w:rPr>
        <w:t>, r</w:t>
      </w:r>
      <w:r w:rsidR="004D1230" w:rsidRPr="004D1230">
        <w:rPr>
          <w:rFonts w:ascii="Times New Roman" w:hAnsi="Times New Roman" w:cs="Times New Roman"/>
          <w:sz w:val="24"/>
          <w:szCs w:val="24"/>
        </w:rPr>
        <w:t>esponsáveis por estabelecer as diretrizes e políticas gerais do sistema. O principal deles é o Conselho Monetário Nacional (CMN), que define a política monetária, cambial e de crédito. Na execução dessas políticas, atuam as entidades supervisoras, como o Banco Central do Brasil (BCB), que exerce o papel de autoridade monetária, regulando a liquidez da economia, emitindo moeda e fiscalizando as instituições financeiras. A Comissão de Valores Mobiliários (CVM), por sua vez, regula o mercado de capitais, assegurando sua transparência e eficiência. A Susep e a Previc também integram o sistema, supervisionando os mercados de seguros e previdência complementar, respectivamente.</w:t>
      </w:r>
    </w:p>
    <w:p w14:paraId="735F4B7A" w14:textId="29B0F6B4" w:rsidR="004D1230" w:rsidRPr="004D1230" w:rsidRDefault="005771ED" w:rsidP="005771ED">
      <w:pPr>
        <w:spacing w:after="0" w:line="360" w:lineRule="auto"/>
        <w:ind w:firstLine="708"/>
        <w:jc w:val="both"/>
        <w:rPr>
          <w:rFonts w:ascii="Times New Roman" w:hAnsi="Times New Roman" w:cs="Times New Roman"/>
          <w:sz w:val="24"/>
          <w:szCs w:val="24"/>
        </w:rPr>
      </w:pPr>
      <w:r w:rsidRPr="005771ED">
        <w:rPr>
          <w:rFonts w:ascii="Times New Roman" w:hAnsi="Times New Roman" w:cs="Times New Roman"/>
          <w:sz w:val="24"/>
          <w:szCs w:val="24"/>
        </w:rPr>
        <w:t>O</w:t>
      </w:r>
      <w:r>
        <w:rPr>
          <w:rFonts w:ascii="Times New Roman" w:hAnsi="Times New Roman" w:cs="Times New Roman"/>
          <w:sz w:val="24"/>
          <w:szCs w:val="24"/>
        </w:rPr>
        <w:t xml:space="preserve"> </w:t>
      </w:r>
      <w:r w:rsidRPr="005771ED">
        <w:rPr>
          <w:rFonts w:ascii="Times New Roman" w:hAnsi="Times New Roman" w:cs="Times New Roman"/>
          <w:sz w:val="24"/>
          <w:szCs w:val="24"/>
        </w:rPr>
        <w:t>subsistema operativo, também chamado de</w:t>
      </w:r>
      <w:r>
        <w:rPr>
          <w:rFonts w:ascii="Times New Roman" w:hAnsi="Times New Roman" w:cs="Times New Roman"/>
          <w:sz w:val="24"/>
          <w:szCs w:val="24"/>
        </w:rPr>
        <w:t xml:space="preserve"> </w:t>
      </w:r>
      <w:r w:rsidRPr="005771ED">
        <w:rPr>
          <w:rFonts w:ascii="Times New Roman" w:hAnsi="Times New Roman" w:cs="Times New Roman"/>
          <w:sz w:val="24"/>
          <w:szCs w:val="24"/>
        </w:rPr>
        <w:t>intermediação, é composto por todas as</w:t>
      </w:r>
      <w:r>
        <w:rPr>
          <w:rFonts w:ascii="Times New Roman" w:hAnsi="Times New Roman" w:cs="Times New Roman"/>
          <w:sz w:val="24"/>
          <w:szCs w:val="24"/>
        </w:rPr>
        <w:t xml:space="preserve"> </w:t>
      </w:r>
      <w:r w:rsidRPr="005771ED">
        <w:rPr>
          <w:rFonts w:ascii="Times New Roman" w:hAnsi="Times New Roman" w:cs="Times New Roman"/>
          <w:sz w:val="24"/>
          <w:szCs w:val="24"/>
        </w:rPr>
        <w:t>demais instituições financeiras, monetárias ou</w:t>
      </w:r>
      <w:r>
        <w:rPr>
          <w:rFonts w:ascii="Times New Roman" w:hAnsi="Times New Roman" w:cs="Times New Roman"/>
          <w:sz w:val="24"/>
          <w:szCs w:val="24"/>
        </w:rPr>
        <w:t xml:space="preserve"> </w:t>
      </w:r>
      <w:r w:rsidRPr="005771ED">
        <w:rPr>
          <w:rFonts w:ascii="Times New Roman" w:hAnsi="Times New Roman" w:cs="Times New Roman"/>
          <w:sz w:val="24"/>
          <w:szCs w:val="24"/>
        </w:rPr>
        <w:t>não, oficiais ou não, como também demais</w:t>
      </w:r>
      <w:r>
        <w:rPr>
          <w:rFonts w:ascii="Times New Roman" w:hAnsi="Times New Roman" w:cs="Times New Roman"/>
          <w:sz w:val="24"/>
          <w:szCs w:val="24"/>
        </w:rPr>
        <w:t xml:space="preserve"> </w:t>
      </w:r>
      <w:r w:rsidRPr="005771ED">
        <w:rPr>
          <w:rFonts w:ascii="Times New Roman" w:hAnsi="Times New Roman" w:cs="Times New Roman"/>
          <w:sz w:val="24"/>
          <w:szCs w:val="24"/>
        </w:rPr>
        <w:t>instituições auxiliares, responsáveis, entre</w:t>
      </w:r>
      <w:r>
        <w:rPr>
          <w:rFonts w:ascii="Times New Roman" w:hAnsi="Times New Roman" w:cs="Times New Roman"/>
          <w:sz w:val="24"/>
          <w:szCs w:val="24"/>
        </w:rPr>
        <w:t xml:space="preserve"> </w:t>
      </w:r>
      <w:r w:rsidRPr="005771ED">
        <w:rPr>
          <w:rFonts w:ascii="Times New Roman" w:hAnsi="Times New Roman" w:cs="Times New Roman"/>
          <w:sz w:val="24"/>
          <w:szCs w:val="24"/>
        </w:rPr>
        <w:t>outras atribuições, pelas intermediações de</w:t>
      </w:r>
      <w:r>
        <w:rPr>
          <w:rFonts w:ascii="Times New Roman" w:hAnsi="Times New Roman" w:cs="Times New Roman"/>
          <w:sz w:val="24"/>
          <w:szCs w:val="24"/>
        </w:rPr>
        <w:t xml:space="preserve"> </w:t>
      </w:r>
      <w:r w:rsidRPr="005771ED">
        <w:rPr>
          <w:rFonts w:ascii="Times New Roman" w:hAnsi="Times New Roman" w:cs="Times New Roman"/>
          <w:sz w:val="24"/>
          <w:szCs w:val="24"/>
        </w:rPr>
        <w:t>recursos entre poupadores e tomadores ou</w:t>
      </w:r>
      <w:r>
        <w:rPr>
          <w:rFonts w:ascii="Times New Roman" w:hAnsi="Times New Roman" w:cs="Times New Roman"/>
          <w:sz w:val="24"/>
          <w:szCs w:val="24"/>
        </w:rPr>
        <w:t xml:space="preserve"> </w:t>
      </w:r>
      <w:r w:rsidRPr="005771ED">
        <w:rPr>
          <w:rFonts w:ascii="Times New Roman" w:hAnsi="Times New Roman" w:cs="Times New Roman"/>
          <w:sz w:val="24"/>
          <w:szCs w:val="24"/>
        </w:rPr>
        <w:t>pela prestação de serviços</w:t>
      </w:r>
      <w:r>
        <w:rPr>
          <w:rFonts w:ascii="Times New Roman" w:hAnsi="Times New Roman" w:cs="Times New Roman"/>
          <w:sz w:val="24"/>
          <w:szCs w:val="24"/>
        </w:rPr>
        <w:t xml:space="preserve">. </w:t>
      </w:r>
      <w:r w:rsidR="004D1230" w:rsidRPr="004D1230">
        <w:rPr>
          <w:rFonts w:ascii="Times New Roman" w:hAnsi="Times New Roman" w:cs="Times New Roman"/>
          <w:sz w:val="24"/>
          <w:szCs w:val="24"/>
        </w:rPr>
        <w:t xml:space="preserve">Entre os principais agentes do SFN estão as instituições financeiras, que se dividem entre monetárias (como bancos comerciais, múltiplos e de investimento) e não monetárias </w:t>
      </w:r>
      <w:r w:rsidR="004D1230" w:rsidRPr="004D1230">
        <w:rPr>
          <w:rFonts w:ascii="Times New Roman" w:hAnsi="Times New Roman" w:cs="Times New Roman"/>
          <w:sz w:val="24"/>
          <w:szCs w:val="24"/>
        </w:rPr>
        <w:lastRenderedPageBreak/>
        <w:t>(como sociedades de crédito, financiamento e investimento). Essas instituições captam recursos junto ao público e os aplicam em operações de crédito, investimentos e financiamentos. Há também entidades auxiliares, como corretoras, distribuidoras, cooperativas de crédito e as infraestruturas de mercado, como a B3 e o sistema Selic, que viabilizam a liquidação e a custódia de ativos financeiros.</w:t>
      </w:r>
    </w:p>
    <w:p w14:paraId="29DF84C1" w14:textId="77777777" w:rsidR="004D1230" w:rsidRPr="004D1230" w:rsidRDefault="004D1230" w:rsidP="00D61DCB">
      <w:pPr>
        <w:spacing w:after="0" w:line="360" w:lineRule="auto"/>
        <w:ind w:firstLine="708"/>
        <w:jc w:val="both"/>
        <w:rPr>
          <w:rFonts w:ascii="Times New Roman" w:hAnsi="Times New Roman" w:cs="Times New Roman"/>
          <w:sz w:val="24"/>
          <w:szCs w:val="24"/>
        </w:rPr>
      </w:pPr>
      <w:r w:rsidRPr="004D1230">
        <w:rPr>
          <w:rFonts w:ascii="Times New Roman" w:hAnsi="Times New Roman" w:cs="Times New Roman"/>
          <w:sz w:val="24"/>
          <w:szCs w:val="24"/>
        </w:rPr>
        <w:t>O sistema é altamente regulado para garantir a estabilidade, a confiança dos investidores e a segurança dos recursos movimentados. Para isso, há um conjunto de normas infralegais, regulamentos e diretrizes estabelecidas pelos órgãos normativos, assim como mecanismos de controle e fiscalização executados pelos supervisores. Esse controle é essencial, uma vez que o mercado financeiro opera com base na confiança e na integridade das instituições envolvidas.</w:t>
      </w:r>
    </w:p>
    <w:p w14:paraId="7EF49648" w14:textId="77777777" w:rsidR="004D1230" w:rsidRPr="003B7506" w:rsidRDefault="004D1230" w:rsidP="00D61DCB">
      <w:pPr>
        <w:spacing w:after="0" w:line="360" w:lineRule="auto"/>
        <w:ind w:firstLine="708"/>
        <w:jc w:val="both"/>
        <w:rPr>
          <w:rFonts w:ascii="Times New Roman" w:hAnsi="Times New Roman" w:cs="Times New Roman"/>
          <w:sz w:val="24"/>
          <w:szCs w:val="24"/>
        </w:rPr>
      </w:pPr>
      <w:r w:rsidRPr="004D1230">
        <w:rPr>
          <w:rFonts w:ascii="Times New Roman" w:hAnsi="Times New Roman" w:cs="Times New Roman"/>
          <w:sz w:val="24"/>
          <w:szCs w:val="24"/>
        </w:rPr>
        <w:t>Por fim, o SFN abrange diferentes mercados – monetário, de crédito, de câmbio, de capitais e de derivativos – que se interconectam e desempenham funções específicas na alocação de recursos, na precificação de ativos e na execução da política econômica. Ao integrar políticas públicas, intermediação financeira e segurança jurídica, o Sistema Financeiro Nacional atua como um dos pilares fundamentais para o desenvolvimento da economia brasileira.</w:t>
      </w:r>
    </w:p>
    <w:p w14:paraId="4DD06F99" w14:textId="77777777" w:rsidR="008F60F5" w:rsidRPr="003B7506" w:rsidRDefault="008F60F5" w:rsidP="00D61DCB">
      <w:pPr>
        <w:spacing w:after="0"/>
        <w:jc w:val="both"/>
        <w:rPr>
          <w:rFonts w:ascii="Times New Roman" w:hAnsi="Times New Roman" w:cs="Times New Roman"/>
          <w:sz w:val="24"/>
          <w:szCs w:val="24"/>
        </w:rPr>
      </w:pPr>
    </w:p>
    <w:p w14:paraId="12D5EC2F" w14:textId="59CB33B8" w:rsidR="008F60F5" w:rsidRPr="005E18DC" w:rsidRDefault="008F60F5" w:rsidP="005E18DC">
      <w:pPr>
        <w:pStyle w:val="Ttulo3"/>
        <w:spacing w:before="0" w:after="0"/>
        <w:rPr>
          <w:rFonts w:ascii="Times New Roman" w:hAnsi="Times New Roman" w:cs="Times New Roman"/>
          <w:b/>
          <w:bCs/>
          <w:color w:val="auto"/>
          <w:sz w:val="24"/>
          <w:szCs w:val="24"/>
        </w:rPr>
      </w:pPr>
      <w:bookmarkStart w:id="6" w:name="_Toc201336656"/>
      <w:r w:rsidRPr="005E18DC">
        <w:rPr>
          <w:rFonts w:ascii="Times New Roman" w:hAnsi="Times New Roman" w:cs="Times New Roman"/>
          <w:b/>
          <w:bCs/>
          <w:color w:val="auto"/>
          <w:sz w:val="24"/>
          <w:szCs w:val="24"/>
        </w:rPr>
        <w:t>2.1.1. Conceito de Atividade Financeira</w:t>
      </w:r>
      <w:bookmarkEnd w:id="6"/>
    </w:p>
    <w:p w14:paraId="03C58521" w14:textId="77777777" w:rsidR="00D61DCB" w:rsidRPr="003B7506" w:rsidRDefault="00D61DCB" w:rsidP="00D61DCB">
      <w:pPr>
        <w:spacing w:after="0" w:line="276" w:lineRule="auto"/>
        <w:jc w:val="both"/>
        <w:rPr>
          <w:rFonts w:ascii="Times New Roman" w:hAnsi="Times New Roman" w:cs="Times New Roman"/>
          <w:b/>
          <w:bCs/>
          <w:sz w:val="24"/>
          <w:szCs w:val="24"/>
        </w:rPr>
      </w:pPr>
    </w:p>
    <w:p w14:paraId="0DB0A66F" w14:textId="77777777" w:rsidR="005F0C57" w:rsidRDefault="005F0C57" w:rsidP="00D61DCB">
      <w:pPr>
        <w:spacing w:after="0" w:line="360" w:lineRule="auto"/>
        <w:ind w:firstLine="708"/>
        <w:jc w:val="both"/>
        <w:rPr>
          <w:rFonts w:ascii="Times New Roman" w:hAnsi="Times New Roman" w:cs="Times New Roman"/>
          <w:sz w:val="24"/>
          <w:szCs w:val="24"/>
        </w:rPr>
      </w:pPr>
      <w:r w:rsidRPr="005F0C57">
        <w:rPr>
          <w:rFonts w:ascii="Times New Roman" w:hAnsi="Times New Roman" w:cs="Times New Roman"/>
          <w:sz w:val="24"/>
          <w:szCs w:val="24"/>
        </w:rPr>
        <w:t>De acordo com o artigo 17 da Lei nº 4.595/1964, são consideradas instituições financeiras as pessoas jurídicas que tenham como atividade principal ou acessória a coleta, intermediação ou aplicação de recursos financeiros próprios ou de terceiros, em moeda nacional ou estrangeira, além da custódia de valores de propriedade de terceiros. Isso implica que, para caracterizar tal atividade, é necessário o exercício habitual e profissional de operações que envolvam captação de recursos e repasse financeiro, com intuito de lucro.</w:t>
      </w:r>
    </w:p>
    <w:p w14:paraId="7F81A05B" w14:textId="6E8E07F1" w:rsidR="00F43DCD" w:rsidRPr="005F0C57" w:rsidRDefault="00F43DCD" w:rsidP="00D22A90">
      <w:pPr>
        <w:spacing w:after="0" w:line="360" w:lineRule="auto"/>
        <w:ind w:firstLine="708"/>
        <w:jc w:val="both"/>
        <w:rPr>
          <w:rFonts w:ascii="Times New Roman" w:hAnsi="Times New Roman" w:cs="Times New Roman"/>
          <w:sz w:val="24"/>
          <w:szCs w:val="24"/>
        </w:rPr>
      </w:pPr>
      <w:r w:rsidRPr="00F43DCD">
        <w:rPr>
          <w:rFonts w:ascii="Times New Roman" w:hAnsi="Times New Roman" w:cs="Times New Roman"/>
          <w:sz w:val="24"/>
          <w:szCs w:val="24"/>
        </w:rPr>
        <w:t>O processo de intermediação</w:t>
      </w:r>
      <w:r>
        <w:rPr>
          <w:rFonts w:ascii="Times New Roman" w:hAnsi="Times New Roman" w:cs="Times New Roman"/>
          <w:sz w:val="24"/>
          <w:szCs w:val="24"/>
        </w:rPr>
        <w:t xml:space="preserve"> </w:t>
      </w:r>
      <w:r w:rsidRPr="00F43DCD">
        <w:rPr>
          <w:rFonts w:ascii="Times New Roman" w:hAnsi="Times New Roman" w:cs="Times New Roman"/>
          <w:sz w:val="24"/>
          <w:szCs w:val="24"/>
        </w:rPr>
        <w:t>financeira funciona basicamente por meio da</w:t>
      </w:r>
      <w:r>
        <w:rPr>
          <w:rFonts w:ascii="Times New Roman" w:hAnsi="Times New Roman" w:cs="Times New Roman"/>
          <w:sz w:val="24"/>
          <w:szCs w:val="24"/>
        </w:rPr>
        <w:t xml:space="preserve"> </w:t>
      </w:r>
      <w:r w:rsidRPr="00F43DCD">
        <w:rPr>
          <w:rFonts w:ascii="Times New Roman" w:hAnsi="Times New Roman" w:cs="Times New Roman"/>
          <w:sz w:val="24"/>
          <w:szCs w:val="24"/>
        </w:rPr>
        <w:t>transferência de recursos entre ofertantes e</w:t>
      </w:r>
      <w:r>
        <w:rPr>
          <w:rFonts w:ascii="Times New Roman" w:hAnsi="Times New Roman" w:cs="Times New Roman"/>
          <w:sz w:val="24"/>
          <w:szCs w:val="24"/>
        </w:rPr>
        <w:t xml:space="preserve"> </w:t>
      </w:r>
      <w:r w:rsidRPr="00F43DCD">
        <w:rPr>
          <w:rFonts w:ascii="Times New Roman" w:hAnsi="Times New Roman" w:cs="Times New Roman"/>
          <w:sz w:val="24"/>
          <w:szCs w:val="24"/>
        </w:rPr>
        <w:t>tomadores de crédito. Fortuna (202</w:t>
      </w:r>
      <w:r w:rsidR="00962490">
        <w:rPr>
          <w:rFonts w:ascii="Times New Roman" w:hAnsi="Times New Roman" w:cs="Times New Roman"/>
          <w:sz w:val="24"/>
          <w:szCs w:val="24"/>
        </w:rPr>
        <w:t>0</w:t>
      </w:r>
      <w:r w:rsidRPr="00F43DCD">
        <w:rPr>
          <w:rFonts w:ascii="Times New Roman" w:hAnsi="Times New Roman" w:cs="Times New Roman"/>
          <w:sz w:val="24"/>
          <w:szCs w:val="24"/>
        </w:rPr>
        <w:t>)</w:t>
      </w:r>
      <w:r>
        <w:rPr>
          <w:rFonts w:ascii="Times New Roman" w:hAnsi="Times New Roman" w:cs="Times New Roman"/>
          <w:sz w:val="24"/>
          <w:szCs w:val="24"/>
        </w:rPr>
        <w:t xml:space="preserve"> </w:t>
      </w:r>
      <w:r w:rsidRPr="00F43DCD">
        <w:rPr>
          <w:rFonts w:ascii="Times New Roman" w:hAnsi="Times New Roman" w:cs="Times New Roman"/>
          <w:sz w:val="24"/>
          <w:szCs w:val="24"/>
        </w:rPr>
        <w:t>considera que a intermediação financeira pode</w:t>
      </w:r>
      <w:r>
        <w:rPr>
          <w:rFonts w:ascii="Times New Roman" w:hAnsi="Times New Roman" w:cs="Times New Roman"/>
          <w:sz w:val="24"/>
          <w:szCs w:val="24"/>
        </w:rPr>
        <w:t xml:space="preserve"> </w:t>
      </w:r>
      <w:r w:rsidRPr="00F43DCD">
        <w:rPr>
          <w:rFonts w:ascii="Times New Roman" w:hAnsi="Times New Roman" w:cs="Times New Roman"/>
          <w:sz w:val="24"/>
          <w:szCs w:val="24"/>
        </w:rPr>
        <w:t>ser definida como um processo no qual os</w:t>
      </w:r>
      <w:r>
        <w:rPr>
          <w:rFonts w:ascii="Times New Roman" w:hAnsi="Times New Roman" w:cs="Times New Roman"/>
          <w:sz w:val="24"/>
          <w:szCs w:val="24"/>
        </w:rPr>
        <w:t xml:space="preserve"> </w:t>
      </w:r>
      <w:r w:rsidRPr="00F43DCD">
        <w:rPr>
          <w:rFonts w:ascii="Times New Roman" w:hAnsi="Times New Roman" w:cs="Times New Roman"/>
          <w:sz w:val="24"/>
          <w:szCs w:val="24"/>
        </w:rPr>
        <w:t>recursos excedentes da economia (poupança)</w:t>
      </w:r>
      <w:r>
        <w:rPr>
          <w:rFonts w:ascii="Times New Roman" w:hAnsi="Times New Roman" w:cs="Times New Roman"/>
          <w:sz w:val="24"/>
          <w:szCs w:val="24"/>
        </w:rPr>
        <w:t xml:space="preserve"> </w:t>
      </w:r>
      <w:r w:rsidRPr="00F43DCD">
        <w:rPr>
          <w:rFonts w:ascii="Times New Roman" w:hAnsi="Times New Roman" w:cs="Times New Roman"/>
          <w:sz w:val="24"/>
          <w:szCs w:val="24"/>
        </w:rPr>
        <w:t>são direcionados para o financiamento de</w:t>
      </w:r>
      <w:r>
        <w:rPr>
          <w:rFonts w:ascii="Times New Roman" w:hAnsi="Times New Roman" w:cs="Times New Roman"/>
          <w:sz w:val="24"/>
          <w:szCs w:val="24"/>
        </w:rPr>
        <w:t xml:space="preserve"> </w:t>
      </w:r>
      <w:r w:rsidRPr="00F43DCD">
        <w:rPr>
          <w:rFonts w:ascii="Times New Roman" w:hAnsi="Times New Roman" w:cs="Times New Roman"/>
          <w:sz w:val="24"/>
          <w:szCs w:val="24"/>
        </w:rPr>
        <w:t>empresas e de novos projetos, desta forma</w:t>
      </w:r>
      <w:r>
        <w:rPr>
          <w:rFonts w:ascii="Times New Roman" w:hAnsi="Times New Roman" w:cs="Times New Roman"/>
          <w:sz w:val="24"/>
          <w:szCs w:val="24"/>
        </w:rPr>
        <w:t xml:space="preserve"> </w:t>
      </w:r>
      <w:r w:rsidRPr="00F43DCD">
        <w:rPr>
          <w:rFonts w:ascii="Times New Roman" w:hAnsi="Times New Roman" w:cs="Times New Roman"/>
          <w:sz w:val="24"/>
          <w:szCs w:val="24"/>
        </w:rPr>
        <w:t>estimulando o crescimento da economia.</w:t>
      </w:r>
      <w:r>
        <w:rPr>
          <w:rFonts w:ascii="Times New Roman" w:hAnsi="Times New Roman" w:cs="Times New Roman"/>
          <w:sz w:val="24"/>
          <w:szCs w:val="24"/>
        </w:rPr>
        <w:t xml:space="preserve"> </w:t>
      </w:r>
      <w:r w:rsidRPr="00F43DCD">
        <w:rPr>
          <w:rFonts w:ascii="Times New Roman" w:hAnsi="Times New Roman" w:cs="Times New Roman"/>
          <w:sz w:val="24"/>
          <w:szCs w:val="24"/>
        </w:rPr>
        <w:t xml:space="preserve">Corroborando, Clemente e </w:t>
      </w:r>
      <w:proofErr w:type="spellStart"/>
      <w:r w:rsidRPr="00F43DCD">
        <w:rPr>
          <w:rFonts w:ascii="Times New Roman" w:hAnsi="Times New Roman" w:cs="Times New Roman"/>
          <w:sz w:val="24"/>
          <w:szCs w:val="24"/>
        </w:rPr>
        <w:t>Kühl</w:t>
      </w:r>
      <w:proofErr w:type="spellEnd"/>
      <w:r w:rsidRPr="00F43DCD">
        <w:rPr>
          <w:rFonts w:ascii="Times New Roman" w:hAnsi="Times New Roman" w:cs="Times New Roman"/>
          <w:sz w:val="24"/>
          <w:szCs w:val="24"/>
        </w:rPr>
        <w:t xml:space="preserve"> (2006)</w:t>
      </w:r>
      <w:r>
        <w:rPr>
          <w:rFonts w:ascii="Times New Roman" w:hAnsi="Times New Roman" w:cs="Times New Roman"/>
          <w:sz w:val="24"/>
          <w:szCs w:val="24"/>
        </w:rPr>
        <w:t xml:space="preserve"> </w:t>
      </w:r>
      <w:r w:rsidRPr="00F43DCD">
        <w:rPr>
          <w:rFonts w:ascii="Times New Roman" w:hAnsi="Times New Roman" w:cs="Times New Roman"/>
          <w:sz w:val="24"/>
          <w:szCs w:val="24"/>
        </w:rPr>
        <w:t>aprofundam esse conceito, no qual os</w:t>
      </w:r>
      <w:r>
        <w:rPr>
          <w:rFonts w:ascii="Times New Roman" w:hAnsi="Times New Roman" w:cs="Times New Roman"/>
          <w:sz w:val="24"/>
          <w:szCs w:val="24"/>
        </w:rPr>
        <w:t xml:space="preserve"> </w:t>
      </w:r>
      <w:r w:rsidRPr="00F43DCD">
        <w:rPr>
          <w:rFonts w:ascii="Times New Roman" w:hAnsi="Times New Roman" w:cs="Times New Roman"/>
          <w:sz w:val="24"/>
          <w:szCs w:val="24"/>
        </w:rPr>
        <w:t>intermediários financeiros captam recursos</w:t>
      </w:r>
      <w:r>
        <w:rPr>
          <w:rFonts w:ascii="Times New Roman" w:hAnsi="Times New Roman" w:cs="Times New Roman"/>
          <w:sz w:val="24"/>
          <w:szCs w:val="24"/>
        </w:rPr>
        <w:t xml:space="preserve"> </w:t>
      </w:r>
      <w:r w:rsidRPr="00F43DCD">
        <w:rPr>
          <w:rFonts w:ascii="Times New Roman" w:hAnsi="Times New Roman" w:cs="Times New Roman"/>
          <w:sz w:val="24"/>
          <w:szCs w:val="24"/>
        </w:rPr>
        <w:t>junto aos agentes econômicos superavitários</w:t>
      </w:r>
      <w:r>
        <w:rPr>
          <w:rFonts w:ascii="Times New Roman" w:hAnsi="Times New Roman" w:cs="Times New Roman"/>
          <w:sz w:val="24"/>
          <w:szCs w:val="24"/>
        </w:rPr>
        <w:t xml:space="preserve"> </w:t>
      </w:r>
      <w:r w:rsidRPr="00F43DCD">
        <w:rPr>
          <w:rFonts w:ascii="Times New Roman" w:hAnsi="Times New Roman" w:cs="Times New Roman"/>
          <w:sz w:val="24"/>
          <w:szCs w:val="24"/>
        </w:rPr>
        <w:lastRenderedPageBreak/>
        <w:t>mediante uma taxa de captação e os</w:t>
      </w:r>
      <w:r>
        <w:rPr>
          <w:rFonts w:ascii="Times New Roman" w:hAnsi="Times New Roman" w:cs="Times New Roman"/>
          <w:sz w:val="24"/>
          <w:szCs w:val="24"/>
        </w:rPr>
        <w:t xml:space="preserve"> </w:t>
      </w:r>
      <w:r w:rsidRPr="00F43DCD">
        <w:rPr>
          <w:rFonts w:ascii="Times New Roman" w:hAnsi="Times New Roman" w:cs="Times New Roman"/>
          <w:sz w:val="24"/>
          <w:szCs w:val="24"/>
        </w:rPr>
        <w:t>emprestam aos agentes econômicos</w:t>
      </w:r>
      <w:r>
        <w:rPr>
          <w:rFonts w:ascii="Times New Roman" w:hAnsi="Times New Roman" w:cs="Times New Roman"/>
          <w:sz w:val="24"/>
          <w:szCs w:val="24"/>
        </w:rPr>
        <w:t xml:space="preserve"> </w:t>
      </w:r>
      <w:r w:rsidRPr="00F43DCD">
        <w:rPr>
          <w:rFonts w:ascii="Times New Roman" w:hAnsi="Times New Roman" w:cs="Times New Roman"/>
          <w:sz w:val="24"/>
          <w:szCs w:val="24"/>
        </w:rPr>
        <w:t>deficitários mediante outra taxa, que deve</w:t>
      </w:r>
      <w:r w:rsidR="00D22A90">
        <w:rPr>
          <w:rFonts w:ascii="Times New Roman" w:hAnsi="Times New Roman" w:cs="Times New Roman"/>
          <w:sz w:val="24"/>
          <w:szCs w:val="24"/>
        </w:rPr>
        <w:t xml:space="preserve"> </w:t>
      </w:r>
      <w:r w:rsidR="00D22A90" w:rsidRPr="00D22A90">
        <w:rPr>
          <w:rFonts w:ascii="Times New Roman" w:hAnsi="Times New Roman" w:cs="Times New Roman"/>
          <w:sz w:val="24"/>
          <w:szCs w:val="24"/>
        </w:rPr>
        <w:t>cobrir o custo de captação, os gastos de</w:t>
      </w:r>
      <w:r w:rsidR="00D22A90">
        <w:rPr>
          <w:rFonts w:ascii="Times New Roman" w:hAnsi="Times New Roman" w:cs="Times New Roman"/>
          <w:sz w:val="24"/>
          <w:szCs w:val="24"/>
        </w:rPr>
        <w:t xml:space="preserve"> </w:t>
      </w:r>
      <w:r w:rsidR="00D22A90" w:rsidRPr="00D22A90">
        <w:rPr>
          <w:rFonts w:ascii="Times New Roman" w:hAnsi="Times New Roman" w:cs="Times New Roman"/>
          <w:sz w:val="24"/>
          <w:szCs w:val="24"/>
        </w:rPr>
        <w:t>intermediação, o risco e os tributos e, ainda,</w:t>
      </w:r>
      <w:r w:rsidR="00D22A90">
        <w:rPr>
          <w:rFonts w:ascii="Times New Roman" w:hAnsi="Times New Roman" w:cs="Times New Roman"/>
          <w:sz w:val="24"/>
          <w:szCs w:val="24"/>
        </w:rPr>
        <w:t xml:space="preserve"> </w:t>
      </w:r>
      <w:r w:rsidR="00D22A90" w:rsidRPr="00D22A90">
        <w:rPr>
          <w:rFonts w:ascii="Times New Roman" w:hAnsi="Times New Roman" w:cs="Times New Roman"/>
          <w:sz w:val="24"/>
          <w:szCs w:val="24"/>
        </w:rPr>
        <w:t>gerar resultado para a atividade de</w:t>
      </w:r>
      <w:r w:rsidR="00A8451E">
        <w:rPr>
          <w:rFonts w:ascii="Times New Roman" w:hAnsi="Times New Roman" w:cs="Times New Roman"/>
          <w:sz w:val="24"/>
          <w:szCs w:val="24"/>
        </w:rPr>
        <w:t xml:space="preserve"> </w:t>
      </w:r>
      <w:r w:rsidR="00D22A90" w:rsidRPr="00D22A90">
        <w:rPr>
          <w:rFonts w:ascii="Times New Roman" w:hAnsi="Times New Roman" w:cs="Times New Roman"/>
          <w:sz w:val="24"/>
          <w:szCs w:val="24"/>
        </w:rPr>
        <w:t>intermediação.</w:t>
      </w:r>
    </w:p>
    <w:p w14:paraId="4CEDAAC5" w14:textId="0ADC7C29" w:rsidR="005F0C57" w:rsidRPr="005F0C57" w:rsidRDefault="005F0C57" w:rsidP="00D61DCB">
      <w:pPr>
        <w:spacing w:after="0" w:line="360" w:lineRule="auto"/>
        <w:ind w:firstLine="708"/>
        <w:jc w:val="both"/>
        <w:rPr>
          <w:rFonts w:ascii="Times New Roman" w:hAnsi="Times New Roman" w:cs="Times New Roman"/>
          <w:sz w:val="24"/>
          <w:szCs w:val="24"/>
        </w:rPr>
      </w:pPr>
      <w:r w:rsidRPr="005F0C57">
        <w:rPr>
          <w:rFonts w:ascii="Times New Roman" w:hAnsi="Times New Roman" w:cs="Times New Roman"/>
          <w:sz w:val="24"/>
          <w:szCs w:val="24"/>
        </w:rPr>
        <w:t xml:space="preserve">Essa definição, no entanto, deve ser interpretada de forma sistemática e finalística, evitando uma leitura puramente literal. Por exemplo, a mera captação de recursos no mercado de capitais ou operações isoladas de empréstimo com capital próprio não caracterizam, por si só, a prática privativa de instituição financeira. O cerne está na intermediação financeira: captar recursos de terceiros e repassá-los mediante operação de mútuo, de forma reiterada, e visando lucro. </w:t>
      </w:r>
      <w:r w:rsidR="00A8451E">
        <w:rPr>
          <w:rFonts w:ascii="Times New Roman" w:hAnsi="Times New Roman" w:cs="Times New Roman"/>
          <w:sz w:val="24"/>
          <w:szCs w:val="24"/>
        </w:rPr>
        <w:t>Para Salomão (2020), e</w:t>
      </w:r>
      <w:r w:rsidRPr="005F0C57">
        <w:rPr>
          <w:rFonts w:ascii="Times New Roman" w:hAnsi="Times New Roman" w:cs="Times New Roman"/>
          <w:sz w:val="24"/>
          <w:szCs w:val="24"/>
        </w:rPr>
        <w:t>sse conjunto de elementos – captação de terceiros, repasse financeiro, intuito de lucro e habitualidade – forma o chamado “binômio bancário”.</w:t>
      </w:r>
    </w:p>
    <w:p w14:paraId="54BD151E" w14:textId="77777777" w:rsidR="005F0C57" w:rsidRPr="005F0C57" w:rsidRDefault="005F0C57" w:rsidP="00D61DCB">
      <w:pPr>
        <w:spacing w:after="0" w:line="360" w:lineRule="auto"/>
        <w:ind w:firstLine="708"/>
        <w:jc w:val="both"/>
        <w:rPr>
          <w:rFonts w:ascii="Times New Roman" w:hAnsi="Times New Roman" w:cs="Times New Roman"/>
          <w:sz w:val="24"/>
          <w:szCs w:val="24"/>
        </w:rPr>
      </w:pPr>
      <w:r w:rsidRPr="005F0C57">
        <w:rPr>
          <w:rFonts w:ascii="Times New Roman" w:hAnsi="Times New Roman" w:cs="Times New Roman"/>
          <w:sz w:val="24"/>
          <w:szCs w:val="24"/>
        </w:rPr>
        <w:t>Além disso, a atividade de custódia de valores também pode ser considerada privativa quando estiver associada à intermediação financeira, envolvendo bens identificáveis, finalidade de lucro e habitualidade. Assim, não se trata apenas de guardar valores ou bens, mas de movimentar recursos de terceiros dentro de uma estrutura voltada à gestão e realocação financeira, como ocorre com a custódia de valores mobiliários sob regulação da Comissão de Valores Mobiliários (CVM).</w:t>
      </w:r>
    </w:p>
    <w:p w14:paraId="42AB6251" w14:textId="77777777" w:rsidR="00D61DCB" w:rsidRPr="003B7506" w:rsidRDefault="00D61DCB" w:rsidP="00D61DCB">
      <w:pPr>
        <w:spacing w:after="0"/>
        <w:jc w:val="both"/>
        <w:rPr>
          <w:rFonts w:ascii="Times New Roman" w:hAnsi="Times New Roman" w:cs="Times New Roman"/>
          <w:sz w:val="24"/>
          <w:szCs w:val="24"/>
        </w:rPr>
      </w:pPr>
    </w:p>
    <w:p w14:paraId="0F3340DE" w14:textId="3B71FB26" w:rsidR="005F0C57" w:rsidRPr="005E18DC" w:rsidRDefault="005F0C57" w:rsidP="005E18DC">
      <w:pPr>
        <w:pStyle w:val="Ttulo3"/>
        <w:spacing w:before="0" w:after="0"/>
        <w:rPr>
          <w:rFonts w:ascii="Times New Roman" w:hAnsi="Times New Roman" w:cs="Times New Roman"/>
          <w:b/>
          <w:bCs/>
          <w:color w:val="auto"/>
          <w:sz w:val="24"/>
          <w:szCs w:val="24"/>
        </w:rPr>
      </w:pPr>
      <w:bookmarkStart w:id="7" w:name="_Toc201336657"/>
      <w:r w:rsidRPr="005E18DC">
        <w:rPr>
          <w:rFonts w:ascii="Times New Roman" w:hAnsi="Times New Roman" w:cs="Times New Roman"/>
          <w:b/>
          <w:bCs/>
          <w:color w:val="auto"/>
          <w:sz w:val="24"/>
          <w:szCs w:val="24"/>
        </w:rPr>
        <w:t>2.1.2. Tipologia das Instituições Financeiras</w:t>
      </w:r>
      <w:bookmarkEnd w:id="7"/>
    </w:p>
    <w:p w14:paraId="4207F468" w14:textId="77777777" w:rsidR="00D61DCB" w:rsidRPr="003B7506" w:rsidRDefault="00D61DCB" w:rsidP="00D61DCB">
      <w:pPr>
        <w:spacing w:after="0" w:line="276" w:lineRule="auto"/>
        <w:jc w:val="both"/>
        <w:rPr>
          <w:rFonts w:ascii="Times New Roman" w:hAnsi="Times New Roman" w:cs="Times New Roman"/>
          <w:b/>
          <w:bCs/>
          <w:sz w:val="24"/>
          <w:szCs w:val="24"/>
        </w:rPr>
      </w:pPr>
    </w:p>
    <w:p w14:paraId="2428BB37" w14:textId="77777777" w:rsidR="003B7506" w:rsidRPr="003B7506" w:rsidRDefault="003B7506" w:rsidP="00D61DCB">
      <w:pPr>
        <w:spacing w:after="0" w:line="360" w:lineRule="auto"/>
        <w:ind w:firstLine="708"/>
        <w:jc w:val="both"/>
        <w:rPr>
          <w:rFonts w:ascii="Times New Roman" w:hAnsi="Times New Roman" w:cs="Times New Roman"/>
          <w:sz w:val="24"/>
          <w:szCs w:val="24"/>
        </w:rPr>
      </w:pPr>
      <w:r w:rsidRPr="003B7506">
        <w:rPr>
          <w:rFonts w:ascii="Times New Roman" w:hAnsi="Times New Roman" w:cs="Times New Roman"/>
          <w:sz w:val="24"/>
          <w:szCs w:val="24"/>
        </w:rPr>
        <w:t>A distinção entre instituições financeiras bancárias e não bancárias decorre da natureza da atividade exercida. As instituições bancárias – como bancos comerciais, de investimento, de desenvolvimento e múltiplos – realizam, de maneira ampla, a captação de depósitos à vista ou a prazo, podendo operar no crédito e realizar diversas funções típicas do sistema financeiro. Já as instituições não bancárias, como sociedades de crédito, financiamento e investimento, ou cooperativas de crédito, atuam de forma mais específica, sem oferecer, por exemplo, conta corrente ou depósitos à vista.</w:t>
      </w:r>
    </w:p>
    <w:p w14:paraId="49A2EA92" w14:textId="3778D693" w:rsidR="003B7506" w:rsidRPr="003B7506" w:rsidRDefault="003B7506" w:rsidP="00D61DCB">
      <w:pPr>
        <w:spacing w:after="0" w:line="360" w:lineRule="auto"/>
        <w:ind w:firstLine="708"/>
        <w:jc w:val="both"/>
        <w:rPr>
          <w:rFonts w:ascii="Times New Roman" w:hAnsi="Times New Roman" w:cs="Times New Roman"/>
          <w:sz w:val="24"/>
          <w:szCs w:val="24"/>
        </w:rPr>
      </w:pPr>
      <w:r w:rsidRPr="003B7506">
        <w:rPr>
          <w:rFonts w:ascii="Times New Roman" w:hAnsi="Times New Roman" w:cs="Times New Roman"/>
          <w:sz w:val="24"/>
          <w:szCs w:val="24"/>
        </w:rPr>
        <w:t xml:space="preserve">Os bancos comerciais se destacam por sua atuação generalista, oferecendo crédito de curto e médio prazos a empresas e pessoas físicas. Já os bancos de investimento concentram-se no financiamento de projetos de capital fixo ou participação societária, com foco </w:t>
      </w:r>
      <w:r w:rsidR="00D36582" w:rsidRPr="003B7506">
        <w:rPr>
          <w:rFonts w:ascii="Times New Roman" w:hAnsi="Times New Roman" w:cs="Times New Roman"/>
          <w:sz w:val="24"/>
          <w:szCs w:val="24"/>
        </w:rPr>
        <w:t>nos médio e longo prazos</w:t>
      </w:r>
      <w:r w:rsidRPr="003B7506">
        <w:rPr>
          <w:rFonts w:ascii="Times New Roman" w:hAnsi="Times New Roman" w:cs="Times New Roman"/>
          <w:sz w:val="24"/>
          <w:szCs w:val="24"/>
        </w:rPr>
        <w:t>. Os bancos de desenvolvimento, por sua vez, possuem função social e regional, como o BNDES, promovendo o desenvolvimento econômico por meio de financiamentos específicos. Já os bancos de câmbio se especializam na compra e venda de moedas estrangeiras e serviços correlatos.</w:t>
      </w:r>
    </w:p>
    <w:p w14:paraId="0A0DC8B8" w14:textId="77777777" w:rsidR="003B7506" w:rsidRPr="003B7506" w:rsidRDefault="003B7506" w:rsidP="00D61DCB">
      <w:pPr>
        <w:spacing w:after="0" w:line="360" w:lineRule="auto"/>
        <w:ind w:firstLine="708"/>
        <w:jc w:val="both"/>
        <w:rPr>
          <w:rFonts w:ascii="Times New Roman" w:hAnsi="Times New Roman" w:cs="Times New Roman"/>
          <w:sz w:val="24"/>
          <w:szCs w:val="24"/>
        </w:rPr>
      </w:pPr>
      <w:r w:rsidRPr="003B7506">
        <w:rPr>
          <w:rFonts w:ascii="Times New Roman" w:hAnsi="Times New Roman" w:cs="Times New Roman"/>
          <w:sz w:val="24"/>
          <w:szCs w:val="24"/>
        </w:rPr>
        <w:lastRenderedPageBreak/>
        <w:t>Entre as instituições não bancárias, destacam-se as cooperativas de crédito, que exercem atividade financeira voltada exclusivamente a seus associados, captando e aplicando recursos de forma mutualista. As sociedades de crédito, financiamento e investimento (as “financeiras”) atuam, principalmente, no financiamento de bens de consumo e capital de giro, por meio de operações específicas como letras de câmbio e empréstimos com recursos captados no mercado.</w:t>
      </w:r>
    </w:p>
    <w:p w14:paraId="4DDA00FA" w14:textId="33C23905" w:rsidR="003B7506" w:rsidRPr="003B7506" w:rsidRDefault="003B7506" w:rsidP="00D61DCB">
      <w:pPr>
        <w:spacing w:after="0" w:line="360" w:lineRule="auto"/>
        <w:ind w:firstLine="708"/>
        <w:jc w:val="both"/>
        <w:rPr>
          <w:rFonts w:ascii="Times New Roman" w:hAnsi="Times New Roman" w:cs="Times New Roman"/>
          <w:sz w:val="24"/>
          <w:szCs w:val="24"/>
        </w:rPr>
      </w:pPr>
      <w:r w:rsidRPr="003B7506">
        <w:rPr>
          <w:rFonts w:ascii="Times New Roman" w:hAnsi="Times New Roman" w:cs="Times New Roman"/>
          <w:sz w:val="24"/>
          <w:szCs w:val="24"/>
        </w:rPr>
        <w:t xml:space="preserve">Com a modernização do sistema financeiro, surgiram também as fintechs, estruturas tecnológicas que podem assumir diferentes naturezas: algumas operam como instituições financeiras (como as Sociedades de Empréstimo entre Pessoas – </w:t>
      </w:r>
      <w:proofErr w:type="spellStart"/>
      <w:r w:rsidRPr="003B7506">
        <w:rPr>
          <w:rFonts w:ascii="Times New Roman" w:hAnsi="Times New Roman" w:cs="Times New Roman"/>
          <w:sz w:val="24"/>
          <w:szCs w:val="24"/>
        </w:rPr>
        <w:t>SEPs</w:t>
      </w:r>
      <w:proofErr w:type="spellEnd"/>
      <w:r w:rsidRPr="003B7506">
        <w:rPr>
          <w:rFonts w:ascii="Times New Roman" w:hAnsi="Times New Roman" w:cs="Times New Roman"/>
          <w:sz w:val="24"/>
          <w:szCs w:val="24"/>
        </w:rPr>
        <w:t xml:space="preserve">), outras apenas prestam serviços para essas instituições. As </w:t>
      </w:r>
      <w:proofErr w:type="spellStart"/>
      <w:r w:rsidRPr="003B7506">
        <w:rPr>
          <w:rFonts w:ascii="Times New Roman" w:hAnsi="Times New Roman" w:cs="Times New Roman"/>
          <w:sz w:val="24"/>
          <w:szCs w:val="24"/>
        </w:rPr>
        <w:t>SEPs</w:t>
      </w:r>
      <w:proofErr w:type="spellEnd"/>
      <w:r w:rsidRPr="003B7506">
        <w:rPr>
          <w:rFonts w:ascii="Times New Roman" w:hAnsi="Times New Roman" w:cs="Times New Roman"/>
          <w:sz w:val="24"/>
          <w:szCs w:val="24"/>
        </w:rPr>
        <w:t>, por exemplo, captam recursos de investidores para repassá-los diretamente a tomadores, sem risco direto da empresa, mas com intermediação regulada pelo Banco Central, sendo, portanto, instituições financeiras</w:t>
      </w:r>
      <w:r w:rsidR="00511D05">
        <w:rPr>
          <w:rFonts w:ascii="Times New Roman" w:hAnsi="Times New Roman" w:cs="Times New Roman"/>
          <w:sz w:val="24"/>
          <w:szCs w:val="24"/>
        </w:rPr>
        <w:t xml:space="preserve"> (</w:t>
      </w:r>
      <w:r w:rsidR="00B14222">
        <w:rPr>
          <w:rFonts w:ascii="Times New Roman" w:hAnsi="Times New Roman" w:cs="Times New Roman"/>
          <w:sz w:val="24"/>
          <w:szCs w:val="24"/>
        </w:rPr>
        <w:t>Banco Central</w:t>
      </w:r>
      <w:r w:rsidR="00511D05">
        <w:rPr>
          <w:rFonts w:ascii="Times New Roman" w:hAnsi="Times New Roman" w:cs="Times New Roman"/>
          <w:sz w:val="24"/>
          <w:szCs w:val="24"/>
        </w:rPr>
        <w:t>, 2019)</w:t>
      </w:r>
      <w:r w:rsidRPr="003B7506">
        <w:rPr>
          <w:rFonts w:ascii="Times New Roman" w:hAnsi="Times New Roman" w:cs="Times New Roman"/>
          <w:sz w:val="24"/>
          <w:szCs w:val="24"/>
        </w:rPr>
        <w:t>.</w:t>
      </w:r>
    </w:p>
    <w:p w14:paraId="4596C88D" w14:textId="150914BB" w:rsidR="005F0C57" w:rsidRPr="004D1230" w:rsidRDefault="003B7506" w:rsidP="00D61DCB">
      <w:pPr>
        <w:spacing w:after="0" w:line="360" w:lineRule="auto"/>
        <w:ind w:firstLine="708"/>
        <w:jc w:val="both"/>
        <w:rPr>
          <w:rFonts w:ascii="Times New Roman" w:hAnsi="Times New Roman" w:cs="Times New Roman"/>
          <w:sz w:val="24"/>
          <w:szCs w:val="24"/>
        </w:rPr>
      </w:pPr>
      <w:r w:rsidRPr="003B7506">
        <w:rPr>
          <w:rFonts w:ascii="Times New Roman" w:hAnsi="Times New Roman" w:cs="Times New Roman"/>
          <w:sz w:val="24"/>
          <w:szCs w:val="24"/>
        </w:rPr>
        <w:t>Por fim, é importante mencionar que a lei também equipara a instituições financeiras certos agentes e entidades que, embora não realizem atividades privativas, operam de forma profissional e contínua nos mercados financeiro e de capitais, como é o caso das corretoras e distribuidoras de valores mobiliários e das administradoras de carteiras. O critério de equiparação se justifica pela necessidade de sujeitá-las a normas de supervisão e controle, assegurando a integridade do sistema e a proteção dos investidores.</w:t>
      </w:r>
    </w:p>
    <w:p w14:paraId="36375A7B" w14:textId="77777777" w:rsidR="00D61DCB" w:rsidRPr="00D8628C" w:rsidRDefault="00D61DCB" w:rsidP="00D61DCB">
      <w:pPr>
        <w:spacing w:after="0"/>
      </w:pPr>
    </w:p>
    <w:p w14:paraId="61FC0EB4" w14:textId="2596FC4E" w:rsidR="00D61DCB" w:rsidRDefault="003A6242" w:rsidP="00D61DCB">
      <w:pPr>
        <w:pStyle w:val="Ttulo2"/>
        <w:spacing w:before="0" w:after="0"/>
        <w:rPr>
          <w:rFonts w:ascii="Times New Roman" w:hAnsi="Times New Roman" w:cs="Times New Roman"/>
          <w:b/>
          <w:bCs/>
          <w:color w:val="auto"/>
          <w:sz w:val="24"/>
          <w:szCs w:val="24"/>
        </w:rPr>
      </w:pPr>
      <w:bookmarkStart w:id="8" w:name="_Toc201336658"/>
      <w:r w:rsidRPr="00B42DC9">
        <w:rPr>
          <w:rFonts w:ascii="Times New Roman" w:hAnsi="Times New Roman" w:cs="Times New Roman"/>
          <w:b/>
          <w:bCs/>
          <w:color w:val="auto"/>
          <w:sz w:val="24"/>
          <w:szCs w:val="24"/>
        </w:rPr>
        <w:t>2.2. Sistema de Pagamentos Brasileiro (SPB)</w:t>
      </w:r>
      <w:bookmarkEnd w:id="8"/>
    </w:p>
    <w:p w14:paraId="11E469A4" w14:textId="77777777" w:rsidR="00D61DCB" w:rsidRPr="009C5701" w:rsidRDefault="00D61DCB" w:rsidP="00D61DCB">
      <w:pPr>
        <w:spacing w:after="0" w:line="276" w:lineRule="auto"/>
      </w:pPr>
    </w:p>
    <w:p w14:paraId="7E9D4FCE"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O Sistema de Pagamentos Brasileiro (SPB) é composto por dois segmentos: Infraestruturas do Mercado Financeiro (IMF) e Arranjos de Pagamento.</w:t>
      </w:r>
    </w:p>
    <w:p w14:paraId="740B7D35" w14:textId="05277462"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O segmento de IMF compreende as IOSMF (Instituições Operadoras de Sistemas do Mercado Financeiro), e os SMF (Sistemas do Mercado Financeiro), que podem ser entendidos como um conjunto de regras, procedimentos e estrutura operacional voltados a permitir o exercício das atividades de liquidação, de depósito centralizado, de registro de Ativos Financeiros (AF) ou a combinação dessas atividades</w:t>
      </w:r>
      <w:r w:rsidR="00511D05">
        <w:rPr>
          <w:rFonts w:ascii="Times New Roman" w:eastAsia="Arial" w:hAnsi="Times New Roman" w:cs="Times New Roman"/>
          <w:bCs/>
          <w:sz w:val="24"/>
          <w:szCs w:val="24"/>
        </w:rPr>
        <w:t xml:space="preserve"> (</w:t>
      </w:r>
      <w:r w:rsidR="00B14222">
        <w:rPr>
          <w:rFonts w:ascii="Times New Roman" w:eastAsia="Arial" w:hAnsi="Times New Roman" w:cs="Times New Roman"/>
          <w:bCs/>
          <w:sz w:val="24"/>
          <w:szCs w:val="24"/>
        </w:rPr>
        <w:t>Banco Central</w:t>
      </w:r>
      <w:r w:rsidR="00511D05">
        <w:rPr>
          <w:rFonts w:ascii="Times New Roman" w:eastAsia="Arial" w:hAnsi="Times New Roman" w:cs="Times New Roman"/>
          <w:bCs/>
          <w:sz w:val="24"/>
          <w:szCs w:val="24"/>
        </w:rPr>
        <w:t>, 2025)</w:t>
      </w:r>
      <w:r w:rsidRPr="009C5701">
        <w:rPr>
          <w:rFonts w:ascii="Times New Roman" w:eastAsia="Arial" w:hAnsi="Times New Roman" w:cs="Times New Roman"/>
          <w:bCs/>
          <w:sz w:val="24"/>
          <w:szCs w:val="24"/>
        </w:rPr>
        <w:t>.</w:t>
      </w:r>
    </w:p>
    <w:p w14:paraId="77CF3F54"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As IMF desempenham um papel fundamental para o Sistema Financeiro Nacional e para a economia de uma forma geral. Assim, é importante que os mercados financeiros confiem na qualidade e na continuidade dos serviços prestados pelas IOSMF. O funcionamento adequado dos SMF é essencial para a estabilidade financeira e condição </w:t>
      </w:r>
      <w:r w:rsidRPr="009C5701">
        <w:rPr>
          <w:rFonts w:ascii="Times New Roman" w:eastAsia="Arial" w:hAnsi="Times New Roman" w:cs="Times New Roman"/>
          <w:bCs/>
          <w:sz w:val="24"/>
          <w:szCs w:val="24"/>
        </w:rPr>
        <w:lastRenderedPageBreak/>
        <w:t>necessária para salvaguardar os canais de transmissão da política monetária. Assim, cumpre ao Banco Central do Brasil (BC) atuar no sentido de promover sua solidez, seu normal funcionamento e seu contínuo aperfeiçoamento.</w:t>
      </w:r>
    </w:p>
    <w:p w14:paraId="64BD7B11" w14:textId="77777777" w:rsid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Já o segmento de arranjos de pagamento, conforme definido na Lei 12.865, de 9 de outubro de 2013, compreende os conjuntos de regras e de procedimentos que disciplinam a prestação de determinados serviços de pagamento ao público (como por exemplo o Pix e os cartões de crédito). Além dos arranjos de pagamento, esse segmento inclui os instituidores desses arranjos e seus participantes, que podem ser instituições financeiras ou instituições de pagamento.</w:t>
      </w:r>
    </w:p>
    <w:p w14:paraId="40D3A3FA" w14:textId="77777777" w:rsidR="00D61DCB" w:rsidRPr="009C5701" w:rsidRDefault="00D61DCB" w:rsidP="00D61DCB">
      <w:pPr>
        <w:spacing w:after="0" w:line="360" w:lineRule="auto"/>
        <w:ind w:firstLine="708"/>
        <w:jc w:val="both"/>
        <w:rPr>
          <w:rFonts w:ascii="Times New Roman" w:eastAsia="Arial" w:hAnsi="Times New Roman" w:cs="Times New Roman"/>
          <w:bCs/>
          <w:sz w:val="24"/>
          <w:szCs w:val="24"/>
        </w:rPr>
      </w:pPr>
    </w:p>
    <w:p w14:paraId="54271743" w14:textId="77B2E62C" w:rsidR="009C5701" w:rsidRPr="009C5701" w:rsidRDefault="009C5701" w:rsidP="000E29F4">
      <w:pPr>
        <w:jc w:val="center"/>
        <w:rPr>
          <w:rFonts w:ascii="Times New Roman" w:eastAsia="Arial" w:hAnsi="Times New Roman" w:cs="Times New Roman"/>
          <w:b/>
          <w:sz w:val="24"/>
          <w:szCs w:val="24"/>
        </w:rPr>
      </w:pPr>
      <w:r w:rsidRPr="009C5701">
        <w:rPr>
          <w:rFonts w:ascii="Times New Roman" w:eastAsia="Arial" w:hAnsi="Times New Roman" w:cs="Times New Roman"/>
          <w:b/>
          <w:noProof/>
          <w:sz w:val="24"/>
          <w:szCs w:val="24"/>
        </w:rPr>
        <w:drawing>
          <wp:inline distT="0" distB="0" distL="0" distR="0" wp14:anchorId="38097F28" wp14:editId="1E2E836C">
            <wp:extent cx="4991100" cy="2279650"/>
            <wp:effectExtent l="0" t="0" r="0" b="6350"/>
            <wp:docPr id="1945365753" name="Imagem 2"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65753" name="Imagem 2" descr="Tabela&#10;&#10;O conteúdo gerado por IA pode estar incorre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100" cy="2279650"/>
                    </a:xfrm>
                    <a:prstGeom prst="rect">
                      <a:avLst/>
                    </a:prstGeom>
                    <a:noFill/>
                    <a:ln>
                      <a:noFill/>
                    </a:ln>
                  </pic:spPr>
                </pic:pic>
              </a:graphicData>
            </a:graphic>
          </wp:inline>
        </w:drawing>
      </w:r>
    </w:p>
    <w:p w14:paraId="5B6C135E" w14:textId="233DD842" w:rsidR="005C27E5" w:rsidRDefault="005C27E5" w:rsidP="000E29F4">
      <w:pPr>
        <w:spacing w:after="0"/>
        <w:jc w:val="center"/>
        <w:rPr>
          <w:rFonts w:ascii="Times New Roman" w:eastAsia="Arial" w:hAnsi="Times New Roman" w:cs="Times New Roman"/>
          <w:bCs/>
          <w:sz w:val="24"/>
          <w:szCs w:val="24"/>
        </w:rPr>
      </w:pPr>
      <w:r w:rsidRPr="00AF59CF">
        <w:rPr>
          <w:rFonts w:ascii="Times New Roman" w:eastAsia="Arial" w:hAnsi="Times New Roman" w:cs="Times New Roman"/>
          <w:bCs/>
          <w:sz w:val="24"/>
          <w:szCs w:val="24"/>
        </w:rPr>
        <w:t xml:space="preserve">Figura </w:t>
      </w:r>
      <w:r w:rsidR="00422F19" w:rsidRPr="00AF59CF">
        <w:rPr>
          <w:rFonts w:ascii="Times New Roman" w:eastAsia="Arial" w:hAnsi="Times New Roman" w:cs="Times New Roman"/>
          <w:bCs/>
          <w:sz w:val="24"/>
          <w:szCs w:val="24"/>
        </w:rPr>
        <w:t>1</w:t>
      </w:r>
    </w:p>
    <w:p w14:paraId="2858C9DA" w14:textId="77777777" w:rsidR="004774A9" w:rsidRDefault="004774A9" w:rsidP="002B1E10">
      <w:pPr>
        <w:spacing w:after="0"/>
        <w:jc w:val="both"/>
        <w:rPr>
          <w:rFonts w:ascii="Times New Roman" w:eastAsia="Arial" w:hAnsi="Times New Roman" w:cs="Times New Roman"/>
          <w:bCs/>
          <w:sz w:val="24"/>
          <w:szCs w:val="24"/>
        </w:rPr>
      </w:pPr>
    </w:p>
    <w:p w14:paraId="7AB4483E" w14:textId="41D31F7F"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O Sistema de Pagamentos Brasileiro e o Sistema Financeiro Nacional possuem escopos diferentes, porém sinérgicos: enquanto o primeiro foca em arranjos de pagamentos (AP) e infraestruturas de mercado financeiro (IMF), garantindo a efetivação das transações financeiras e pagamentos no país, o segundo é responsável por atividades relacionadas a moeda, crédito, capitais e câmbio, além de seguros privados e previdência fechada. A intersecção entre os dois sistemas demonstra que, embora tenham atribuições específicas, o SFN e o SPB colaboram para manter a fluidez e a segurança das operações financeiras no Brasil, reforçando a estabilidade econômica e monetária por meio de uma infraestrutura integrada.</w:t>
      </w:r>
    </w:p>
    <w:p w14:paraId="714469BB"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A Lei nº 12.865, de 9 de outubro de 2013, criada a partir da Medida Provisória nº 615/2013, trouxe, em seus artigos 6º a 15, regime regulamentar básico para as chamadas instituidoras de arranjos de pagamento e instituições de pagamento, deixando claro </w:t>
      </w:r>
      <w:r w:rsidRPr="00227ACB">
        <w:rPr>
          <w:rFonts w:ascii="Times New Roman" w:eastAsia="Arial" w:hAnsi="Times New Roman" w:cs="Times New Roman"/>
          <w:bCs/>
          <w:sz w:val="24"/>
          <w:szCs w:val="24"/>
        </w:rPr>
        <w:t>não poderem praticar atividades privativas de instituição financeira</w:t>
      </w:r>
      <w:r w:rsidRPr="009C5701">
        <w:rPr>
          <w:rFonts w:ascii="Times New Roman" w:eastAsia="Arial" w:hAnsi="Times New Roman" w:cs="Times New Roman"/>
          <w:bCs/>
          <w:sz w:val="24"/>
          <w:szCs w:val="24"/>
        </w:rPr>
        <w:t xml:space="preserve">. Entre as primeiras estão </w:t>
      </w:r>
      <w:r w:rsidRPr="009C5701">
        <w:rPr>
          <w:rFonts w:ascii="Times New Roman" w:eastAsia="Arial" w:hAnsi="Times New Roman" w:cs="Times New Roman"/>
          <w:bCs/>
          <w:sz w:val="24"/>
          <w:szCs w:val="24"/>
        </w:rPr>
        <w:lastRenderedPageBreak/>
        <w:t>as bandeiras de cartões de créditos e entre as últimas as emissoras de cartões e as credenciadoras de fornecedores.</w:t>
      </w:r>
    </w:p>
    <w:p w14:paraId="68992AD6" w14:textId="76ED793E"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Importante notar que a Medida Provisória </w:t>
      </w:r>
      <w:r w:rsidR="005C27E5" w:rsidRPr="009C5701">
        <w:rPr>
          <w:rFonts w:ascii="Times New Roman" w:eastAsia="Arial" w:hAnsi="Times New Roman" w:cs="Times New Roman"/>
          <w:bCs/>
          <w:sz w:val="24"/>
          <w:szCs w:val="24"/>
        </w:rPr>
        <w:t>atribuía</w:t>
      </w:r>
      <w:r w:rsidRPr="009C5701">
        <w:rPr>
          <w:rFonts w:ascii="Times New Roman" w:eastAsia="Arial" w:hAnsi="Times New Roman" w:cs="Times New Roman"/>
          <w:bCs/>
          <w:sz w:val="24"/>
          <w:szCs w:val="24"/>
        </w:rPr>
        <w:t xml:space="preserve"> ao Banco Central do Brasil, </w:t>
      </w:r>
      <w:r w:rsidR="004E06F3" w:rsidRPr="009C5701">
        <w:rPr>
          <w:rFonts w:ascii="Times New Roman" w:eastAsia="Arial" w:hAnsi="Times New Roman" w:cs="Times New Roman"/>
          <w:bCs/>
          <w:sz w:val="24"/>
          <w:szCs w:val="24"/>
        </w:rPr>
        <w:t>nos</w:t>
      </w:r>
      <w:r w:rsidRPr="009C5701">
        <w:rPr>
          <w:rFonts w:ascii="Times New Roman" w:eastAsia="Arial" w:hAnsi="Times New Roman" w:cs="Times New Roman"/>
          <w:bCs/>
          <w:sz w:val="24"/>
          <w:szCs w:val="24"/>
        </w:rPr>
        <w:t xml:space="preserve"> termos e diretrizes do Conselho Monetário Nacional, estabelecer as obrigações destes novos agentes que passavam a integrar o sistema de pagamento brasileiro, o qual, até então era contemplado sobretudo pelas infraestruturas de mercado financeiro, ou seja, os sistemas operados pelas infraestruturas de compensação e liquidação de ordens de pagamento</w:t>
      </w:r>
      <w:r w:rsidR="006A0897">
        <w:rPr>
          <w:rFonts w:ascii="Times New Roman" w:eastAsia="Arial" w:hAnsi="Times New Roman" w:cs="Times New Roman"/>
          <w:bCs/>
          <w:sz w:val="24"/>
          <w:szCs w:val="24"/>
        </w:rPr>
        <w:t xml:space="preserve"> (C</w:t>
      </w:r>
      <w:r w:rsidR="00B14222">
        <w:rPr>
          <w:rFonts w:ascii="Times New Roman" w:eastAsia="Arial" w:hAnsi="Times New Roman" w:cs="Times New Roman"/>
          <w:bCs/>
          <w:sz w:val="24"/>
          <w:szCs w:val="24"/>
        </w:rPr>
        <w:t>ohen</w:t>
      </w:r>
      <w:r w:rsidR="006A0897">
        <w:rPr>
          <w:rFonts w:ascii="Times New Roman" w:eastAsia="Arial" w:hAnsi="Times New Roman" w:cs="Times New Roman"/>
          <w:bCs/>
          <w:sz w:val="24"/>
          <w:szCs w:val="24"/>
        </w:rPr>
        <w:t xml:space="preserve"> 2023)</w:t>
      </w:r>
      <w:r w:rsidRPr="009C5701">
        <w:rPr>
          <w:rFonts w:ascii="Times New Roman" w:eastAsia="Arial" w:hAnsi="Times New Roman" w:cs="Times New Roman"/>
          <w:bCs/>
          <w:sz w:val="24"/>
          <w:szCs w:val="24"/>
        </w:rPr>
        <w:t xml:space="preserve">. Tal lógica, nota-se, é inversa daquela aplicada às instituições financeiras, que nos termos da Lei nº 4.595/64, estabelece ao CMN o papel de estabelecer as obrigações das </w:t>
      </w:r>
      <w:proofErr w:type="spellStart"/>
      <w:r w:rsidRPr="009C5701">
        <w:rPr>
          <w:rFonts w:ascii="Times New Roman" w:eastAsia="Arial" w:hAnsi="Times New Roman" w:cs="Times New Roman"/>
          <w:bCs/>
          <w:sz w:val="24"/>
          <w:szCs w:val="24"/>
        </w:rPr>
        <w:t>IFs</w:t>
      </w:r>
      <w:proofErr w:type="spellEnd"/>
      <w:r w:rsidRPr="009C5701">
        <w:rPr>
          <w:rFonts w:ascii="Times New Roman" w:eastAsia="Arial" w:hAnsi="Times New Roman" w:cs="Times New Roman"/>
          <w:bCs/>
          <w:sz w:val="24"/>
          <w:szCs w:val="24"/>
        </w:rPr>
        <w:t xml:space="preserve">, </w:t>
      </w:r>
      <w:r w:rsidR="00C4254C" w:rsidRPr="009C5701">
        <w:rPr>
          <w:rFonts w:ascii="Times New Roman" w:eastAsia="Arial" w:hAnsi="Times New Roman" w:cs="Times New Roman"/>
          <w:bCs/>
          <w:sz w:val="24"/>
          <w:szCs w:val="24"/>
        </w:rPr>
        <w:t>enquanto</w:t>
      </w:r>
      <w:r w:rsidRPr="009C5701">
        <w:rPr>
          <w:rFonts w:ascii="Times New Roman" w:eastAsia="Arial" w:hAnsi="Times New Roman" w:cs="Times New Roman"/>
          <w:bCs/>
          <w:sz w:val="24"/>
          <w:szCs w:val="24"/>
        </w:rPr>
        <w:t xml:space="preserve"> no âmbito das </w:t>
      </w:r>
      <w:proofErr w:type="spellStart"/>
      <w:r w:rsidRPr="009C5701">
        <w:rPr>
          <w:rFonts w:ascii="Times New Roman" w:eastAsia="Arial" w:hAnsi="Times New Roman" w:cs="Times New Roman"/>
          <w:bCs/>
          <w:sz w:val="24"/>
          <w:szCs w:val="24"/>
        </w:rPr>
        <w:t>IPs</w:t>
      </w:r>
      <w:proofErr w:type="spellEnd"/>
      <w:r w:rsidRPr="009C5701">
        <w:rPr>
          <w:rFonts w:ascii="Times New Roman" w:eastAsia="Arial" w:hAnsi="Times New Roman" w:cs="Times New Roman"/>
          <w:bCs/>
          <w:sz w:val="24"/>
          <w:szCs w:val="24"/>
        </w:rPr>
        <w:t>, cabe ao Banco Central.</w:t>
      </w:r>
    </w:p>
    <w:p w14:paraId="2FF67AAA" w14:textId="2F7BCBCC" w:rsidR="009C5701" w:rsidRPr="009C5701" w:rsidRDefault="009C5701" w:rsidP="00227A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Justamente por não serem instituições financeiras, são expressamente sujeitas a regulação pelo Banco Central do Brasil em aspectos operacionais, de funcionamento e de prevenção da lavagem de dinheiro, bem como em aspectos institucionais como sua constituição, organização societária, administração e fiscalização.</w:t>
      </w:r>
      <w:r w:rsidR="00227ACB">
        <w:rPr>
          <w:rFonts w:ascii="Times New Roman" w:eastAsia="Arial" w:hAnsi="Times New Roman" w:cs="Times New Roman"/>
          <w:bCs/>
          <w:sz w:val="24"/>
          <w:szCs w:val="24"/>
        </w:rPr>
        <w:t xml:space="preserve"> </w:t>
      </w:r>
      <w:r w:rsidRPr="009C5701">
        <w:rPr>
          <w:rFonts w:ascii="Times New Roman" w:eastAsia="Arial" w:hAnsi="Times New Roman" w:cs="Times New Roman"/>
          <w:bCs/>
          <w:sz w:val="24"/>
          <w:szCs w:val="24"/>
        </w:rPr>
        <w:t xml:space="preserve">O Banco Central do Brasil deve igualmente autorizar as referidas instituições a </w:t>
      </w:r>
      <w:r w:rsidR="00227ACB" w:rsidRPr="009C5701">
        <w:rPr>
          <w:rFonts w:ascii="Times New Roman" w:eastAsia="Arial" w:hAnsi="Times New Roman" w:cs="Times New Roman"/>
          <w:bCs/>
          <w:sz w:val="24"/>
          <w:szCs w:val="24"/>
        </w:rPr>
        <w:t>funcionarem</w:t>
      </w:r>
      <w:r w:rsidRPr="009C5701">
        <w:rPr>
          <w:rFonts w:ascii="Times New Roman" w:eastAsia="Arial" w:hAnsi="Times New Roman" w:cs="Times New Roman"/>
          <w:bCs/>
          <w:sz w:val="24"/>
          <w:szCs w:val="24"/>
        </w:rPr>
        <w:t>, quando apresentem volume de transações significativo.</w:t>
      </w:r>
    </w:p>
    <w:p w14:paraId="1DCC945E"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Também são considerados instituições de pagamento e regulados os chamados emissores de moeda eletrônica, basicamente empresas que convertem moeda física ou escritural (a moeda depositada em instituições financeiras) em moeda eletrônica, depositada em contas do emissor chamadas de contas de pagamento. Essa moeda eletrônica pode ser usada posteriormente para aquisição de bens ou serviços ou transferência a terceiros.</w:t>
      </w:r>
    </w:p>
    <w:p w14:paraId="4C648E00"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Por outro lado, são excluídos presentemente da abrangência da regulação financeira do Conselho Monetário Nacional e do Banco Central do Brasil as sub credenciadoras, a menos, claro, que desempenhem outra atividade de pagamento sujeita à regulação, como a emissão de moeda eletrônica do parágrafo anterior.</w:t>
      </w:r>
    </w:p>
    <w:p w14:paraId="48A86426" w14:textId="69851A13"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A regulação e fiscalização das atividades dos meios de pagamento pode ser dividida em duas esferas principais: O Banco Central do Brasil (Bacen) é o órgão responsável pela autorização, regulação e fiscalização das instituições de pagamento e arranjos, seguindo as diretrizes do Conselho Monetário Nacional (CMN), o qual, por sua </w:t>
      </w:r>
      <w:r w:rsidR="004774A9" w:rsidRPr="009C5701">
        <w:rPr>
          <w:rFonts w:ascii="Times New Roman" w:eastAsia="Arial" w:hAnsi="Times New Roman" w:cs="Times New Roman"/>
          <w:bCs/>
          <w:sz w:val="24"/>
          <w:szCs w:val="24"/>
        </w:rPr>
        <w:t>vez, estabelece</w:t>
      </w:r>
      <w:r w:rsidRPr="009C5701">
        <w:rPr>
          <w:rFonts w:ascii="Times New Roman" w:eastAsia="Arial" w:hAnsi="Times New Roman" w:cs="Times New Roman"/>
          <w:bCs/>
          <w:sz w:val="24"/>
          <w:szCs w:val="24"/>
        </w:rPr>
        <w:t xml:space="preserve"> as diretrizes gerais para a atuação do Bacen no controle e normatização dos sistemas de pagamento (artigo 9º da Lei no 12.865/2013). Em todo caso, a lei em questão fixa alguns princípios específicos segundo os quais a atividade deverá exercida:</w:t>
      </w:r>
    </w:p>
    <w:p w14:paraId="7F16F0F3" w14:textId="77777777" w:rsidR="009C5701" w:rsidRPr="003E7F07" w:rsidRDefault="009C5701" w:rsidP="00D61DCB">
      <w:pPr>
        <w:spacing w:after="0" w:line="276" w:lineRule="auto"/>
        <w:ind w:left="1416"/>
        <w:jc w:val="both"/>
        <w:rPr>
          <w:rFonts w:ascii="Times New Roman" w:eastAsia="Arial" w:hAnsi="Times New Roman" w:cs="Times New Roman"/>
          <w:bCs/>
          <w:sz w:val="20"/>
          <w:szCs w:val="20"/>
        </w:rPr>
      </w:pPr>
      <w:r w:rsidRPr="003E7F07">
        <w:rPr>
          <w:rFonts w:ascii="Times New Roman" w:eastAsia="Arial" w:hAnsi="Times New Roman" w:cs="Times New Roman"/>
          <w:bCs/>
          <w:sz w:val="20"/>
          <w:szCs w:val="20"/>
        </w:rPr>
        <w:lastRenderedPageBreak/>
        <w:t>Art. 7º Os arranjos de pagamento e as instituições de pagamento observarão os seguintes princípios, conforme parâmetros a serem estabelecidos pelo Banco Central do Brasil, observadas as diretrizes do Conselho Monetário Nacional:</w:t>
      </w:r>
    </w:p>
    <w:p w14:paraId="2E2690BE" w14:textId="77777777" w:rsidR="009C5701" w:rsidRPr="003E7F07" w:rsidRDefault="009C5701" w:rsidP="00D61DCB">
      <w:pPr>
        <w:spacing w:after="0" w:line="276" w:lineRule="auto"/>
        <w:ind w:left="1416"/>
        <w:jc w:val="both"/>
        <w:rPr>
          <w:rFonts w:ascii="Times New Roman" w:eastAsia="Arial" w:hAnsi="Times New Roman" w:cs="Times New Roman"/>
          <w:bCs/>
          <w:sz w:val="20"/>
          <w:szCs w:val="20"/>
        </w:rPr>
      </w:pPr>
      <w:r w:rsidRPr="003E7F07">
        <w:rPr>
          <w:rFonts w:ascii="Times New Roman" w:eastAsia="Arial" w:hAnsi="Times New Roman" w:cs="Times New Roman"/>
          <w:bCs/>
          <w:sz w:val="20"/>
          <w:szCs w:val="20"/>
        </w:rPr>
        <w:t xml:space="preserve">I - </w:t>
      </w:r>
      <w:proofErr w:type="gramStart"/>
      <w:r w:rsidRPr="003E7F07">
        <w:rPr>
          <w:rFonts w:ascii="Times New Roman" w:eastAsia="Arial" w:hAnsi="Times New Roman" w:cs="Times New Roman"/>
          <w:bCs/>
          <w:sz w:val="20"/>
          <w:szCs w:val="20"/>
        </w:rPr>
        <w:t>interoperabilidade</w:t>
      </w:r>
      <w:proofErr w:type="gramEnd"/>
      <w:r w:rsidRPr="003E7F07">
        <w:rPr>
          <w:rFonts w:ascii="Times New Roman" w:eastAsia="Arial" w:hAnsi="Times New Roman" w:cs="Times New Roman"/>
          <w:bCs/>
          <w:sz w:val="20"/>
          <w:szCs w:val="20"/>
        </w:rPr>
        <w:t xml:space="preserve"> ao arranjo de pagamento e entre arranjos de pagamento distintos;</w:t>
      </w:r>
    </w:p>
    <w:p w14:paraId="188B833F" w14:textId="77777777" w:rsidR="009C5701" w:rsidRPr="003E7F07" w:rsidRDefault="009C5701" w:rsidP="00D61DCB">
      <w:pPr>
        <w:spacing w:after="0" w:line="276" w:lineRule="auto"/>
        <w:ind w:left="1416"/>
        <w:jc w:val="both"/>
        <w:rPr>
          <w:rFonts w:ascii="Times New Roman" w:eastAsia="Arial" w:hAnsi="Times New Roman" w:cs="Times New Roman"/>
          <w:bCs/>
          <w:sz w:val="20"/>
          <w:szCs w:val="20"/>
        </w:rPr>
      </w:pPr>
      <w:r w:rsidRPr="003E7F07">
        <w:rPr>
          <w:rFonts w:ascii="Times New Roman" w:eastAsia="Arial" w:hAnsi="Times New Roman" w:cs="Times New Roman"/>
          <w:bCs/>
          <w:sz w:val="20"/>
          <w:szCs w:val="20"/>
        </w:rPr>
        <w:t xml:space="preserve">II - </w:t>
      </w:r>
      <w:proofErr w:type="gramStart"/>
      <w:r w:rsidRPr="003E7F07">
        <w:rPr>
          <w:rFonts w:ascii="Times New Roman" w:eastAsia="Arial" w:hAnsi="Times New Roman" w:cs="Times New Roman"/>
          <w:bCs/>
          <w:sz w:val="20"/>
          <w:szCs w:val="20"/>
        </w:rPr>
        <w:t>solidez e eficiência</w:t>
      </w:r>
      <w:proofErr w:type="gramEnd"/>
      <w:r w:rsidRPr="003E7F07">
        <w:rPr>
          <w:rFonts w:ascii="Times New Roman" w:eastAsia="Arial" w:hAnsi="Times New Roman" w:cs="Times New Roman"/>
          <w:bCs/>
          <w:sz w:val="20"/>
          <w:szCs w:val="20"/>
        </w:rPr>
        <w:t xml:space="preserve"> dos arranjos de pagamento e das instituições de pagamento, promoção da competição e previsão de transferência de saldos em moeda eletrônica, quando couber, para outros arranjos ou instituições de pagamento;</w:t>
      </w:r>
    </w:p>
    <w:p w14:paraId="3B36C088" w14:textId="77777777" w:rsidR="009C5701" w:rsidRPr="003E7F07" w:rsidRDefault="009C5701" w:rsidP="00D61DCB">
      <w:pPr>
        <w:spacing w:after="0" w:line="276" w:lineRule="auto"/>
        <w:ind w:left="1416"/>
        <w:jc w:val="both"/>
        <w:rPr>
          <w:rFonts w:ascii="Times New Roman" w:eastAsia="Arial" w:hAnsi="Times New Roman" w:cs="Times New Roman"/>
          <w:bCs/>
          <w:sz w:val="20"/>
          <w:szCs w:val="20"/>
        </w:rPr>
      </w:pPr>
      <w:r w:rsidRPr="003E7F07">
        <w:rPr>
          <w:rFonts w:ascii="Times New Roman" w:eastAsia="Arial" w:hAnsi="Times New Roman" w:cs="Times New Roman"/>
          <w:bCs/>
          <w:sz w:val="20"/>
          <w:szCs w:val="20"/>
        </w:rPr>
        <w:t>III - acesso não discriminatório aos serviços e às infraestruturas necessários ao funcionamento dos arranjos de pagamento;</w:t>
      </w:r>
    </w:p>
    <w:p w14:paraId="3E850789" w14:textId="77777777" w:rsidR="009C5701" w:rsidRPr="003E7F07" w:rsidRDefault="009C5701" w:rsidP="00D61DCB">
      <w:pPr>
        <w:spacing w:after="0" w:line="276" w:lineRule="auto"/>
        <w:ind w:left="1416"/>
        <w:jc w:val="both"/>
        <w:rPr>
          <w:rFonts w:ascii="Times New Roman" w:eastAsia="Arial" w:hAnsi="Times New Roman" w:cs="Times New Roman"/>
          <w:bCs/>
          <w:sz w:val="20"/>
          <w:szCs w:val="20"/>
        </w:rPr>
      </w:pPr>
      <w:r w:rsidRPr="003E7F07">
        <w:rPr>
          <w:rFonts w:ascii="Times New Roman" w:eastAsia="Arial" w:hAnsi="Times New Roman" w:cs="Times New Roman"/>
          <w:bCs/>
          <w:sz w:val="20"/>
          <w:szCs w:val="20"/>
        </w:rPr>
        <w:t xml:space="preserve">IV - </w:t>
      </w:r>
      <w:proofErr w:type="gramStart"/>
      <w:r w:rsidRPr="003E7F07">
        <w:rPr>
          <w:rFonts w:ascii="Times New Roman" w:eastAsia="Arial" w:hAnsi="Times New Roman" w:cs="Times New Roman"/>
          <w:bCs/>
          <w:sz w:val="20"/>
          <w:szCs w:val="20"/>
        </w:rPr>
        <w:t>atendimento</w:t>
      </w:r>
      <w:proofErr w:type="gramEnd"/>
      <w:r w:rsidRPr="003E7F07">
        <w:rPr>
          <w:rFonts w:ascii="Times New Roman" w:eastAsia="Arial" w:hAnsi="Times New Roman" w:cs="Times New Roman"/>
          <w:bCs/>
          <w:sz w:val="20"/>
          <w:szCs w:val="20"/>
        </w:rPr>
        <w:t xml:space="preserve"> às necessidades dos usuários finais, em especial liberdade de escolha, segurança, proteção de seus interesses econômicos, tratamento não discriminatório, privacidade e proteção de dados pessoais, transparência e acesso a informações claras e completas sobre as condições de prestação de serviços;</w:t>
      </w:r>
    </w:p>
    <w:p w14:paraId="107EDC5A" w14:textId="77777777" w:rsidR="009C5701" w:rsidRPr="003E7F07" w:rsidRDefault="009C5701" w:rsidP="00D61DCB">
      <w:pPr>
        <w:spacing w:after="0" w:line="276" w:lineRule="auto"/>
        <w:ind w:left="1416"/>
        <w:jc w:val="both"/>
        <w:rPr>
          <w:rFonts w:ascii="Times New Roman" w:eastAsia="Arial" w:hAnsi="Times New Roman" w:cs="Times New Roman"/>
          <w:bCs/>
          <w:sz w:val="20"/>
          <w:szCs w:val="20"/>
        </w:rPr>
      </w:pPr>
      <w:r w:rsidRPr="003E7F07">
        <w:rPr>
          <w:rFonts w:ascii="Times New Roman" w:eastAsia="Arial" w:hAnsi="Times New Roman" w:cs="Times New Roman"/>
          <w:bCs/>
          <w:sz w:val="20"/>
          <w:szCs w:val="20"/>
        </w:rPr>
        <w:t xml:space="preserve">V - </w:t>
      </w:r>
      <w:proofErr w:type="gramStart"/>
      <w:r w:rsidRPr="003E7F07">
        <w:rPr>
          <w:rFonts w:ascii="Times New Roman" w:eastAsia="Arial" w:hAnsi="Times New Roman" w:cs="Times New Roman"/>
          <w:bCs/>
          <w:sz w:val="20"/>
          <w:szCs w:val="20"/>
        </w:rPr>
        <w:t>confiabilidade</w:t>
      </w:r>
      <w:proofErr w:type="gramEnd"/>
      <w:r w:rsidRPr="003E7F07">
        <w:rPr>
          <w:rFonts w:ascii="Times New Roman" w:eastAsia="Arial" w:hAnsi="Times New Roman" w:cs="Times New Roman"/>
          <w:bCs/>
          <w:sz w:val="20"/>
          <w:szCs w:val="20"/>
        </w:rPr>
        <w:t>, qualidade e segurança dos serviços de pagamento; e</w:t>
      </w:r>
    </w:p>
    <w:p w14:paraId="6DD82A68" w14:textId="77777777" w:rsidR="009C5701" w:rsidRPr="003E7F07" w:rsidRDefault="009C5701" w:rsidP="00D61DCB">
      <w:pPr>
        <w:spacing w:after="0" w:line="276" w:lineRule="auto"/>
        <w:ind w:left="1416"/>
        <w:jc w:val="both"/>
        <w:rPr>
          <w:rFonts w:ascii="Times New Roman" w:eastAsia="Arial" w:hAnsi="Times New Roman" w:cs="Times New Roman"/>
          <w:bCs/>
          <w:sz w:val="20"/>
          <w:szCs w:val="20"/>
        </w:rPr>
      </w:pPr>
      <w:r w:rsidRPr="003E7F07">
        <w:rPr>
          <w:rFonts w:ascii="Times New Roman" w:eastAsia="Arial" w:hAnsi="Times New Roman" w:cs="Times New Roman"/>
          <w:bCs/>
          <w:sz w:val="20"/>
          <w:szCs w:val="20"/>
        </w:rPr>
        <w:t xml:space="preserve">VI - </w:t>
      </w:r>
      <w:proofErr w:type="gramStart"/>
      <w:r w:rsidRPr="003E7F07">
        <w:rPr>
          <w:rFonts w:ascii="Times New Roman" w:eastAsia="Arial" w:hAnsi="Times New Roman" w:cs="Times New Roman"/>
          <w:bCs/>
          <w:sz w:val="20"/>
          <w:szCs w:val="20"/>
        </w:rPr>
        <w:t>inclusão</w:t>
      </w:r>
      <w:proofErr w:type="gramEnd"/>
      <w:r w:rsidRPr="003E7F07">
        <w:rPr>
          <w:rFonts w:ascii="Times New Roman" w:eastAsia="Arial" w:hAnsi="Times New Roman" w:cs="Times New Roman"/>
          <w:bCs/>
          <w:sz w:val="20"/>
          <w:szCs w:val="20"/>
        </w:rPr>
        <w:t xml:space="preserve"> financeira, observados os padrões de qualidade, segurança e transparência equivalentes em todos os arranjos de pagamento.</w:t>
      </w:r>
    </w:p>
    <w:p w14:paraId="3FBCD001" w14:textId="77777777" w:rsidR="00D61DCB" w:rsidRPr="009C5701" w:rsidRDefault="00D61DCB" w:rsidP="00D61DCB">
      <w:pPr>
        <w:spacing w:after="0" w:line="276" w:lineRule="auto"/>
        <w:ind w:left="1416"/>
        <w:jc w:val="both"/>
        <w:rPr>
          <w:rFonts w:ascii="Times New Roman" w:eastAsia="Arial" w:hAnsi="Times New Roman" w:cs="Times New Roman"/>
          <w:bCs/>
          <w:sz w:val="24"/>
          <w:szCs w:val="24"/>
        </w:rPr>
      </w:pPr>
    </w:p>
    <w:p w14:paraId="18DFBD16" w14:textId="41111010"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Tal conjunto principiológico dispõe de duas preocupações principais: garantir a defesa do usuário final, bem como a manutenção de condições de concorrência. Defendem o usuário princípios como a interoperabilidade de arranjos (inciso I</w:t>
      </w:r>
      <w:r w:rsidR="0005636A" w:rsidRPr="009C5701">
        <w:rPr>
          <w:rFonts w:ascii="Times New Roman" w:eastAsia="Arial" w:hAnsi="Times New Roman" w:cs="Times New Roman"/>
          <w:bCs/>
          <w:sz w:val="24"/>
          <w:szCs w:val="24"/>
        </w:rPr>
        <w:t>)</w:t>
      </w:r>
      <w:r w:rsidR="007D1830">
        <w:rPr>
          <w:rStyle w:val="Refdenotaderodap"/>
          <w:rFonts w:ascii="Times New Roman" w:eastAsia="Arial" w:hAnsi="Times New Roman" w:cs="Times New Roman"/>
          <w:bCs/>
          <w:sz w:val="24"/>
          <w:szCs w:val="24"/>
        </w:rPr>
        <w:footnoteReference w:id="1"/>
      </w:r>
      <w:r w:rsidR="0005636A" w:rsidRPr="009C5701">
        <w:rPr>
          <w:rFonts w:ascii="Times New Roman" w:eastAsia="Arial" w:hAnsi="Times New Roman" w:cs="Times New Roman"/>
          <w:bCs/>
          <w:sz w:val="24"/>
          <w:szCs w:val="24"/>
        </w:rPr>
        <w:t>, o</w:t>
      </w:r>
      <w:r w:rsidRPr="009C5701">
        <w:rPr>
          <w:rFonts w:ascii="Times New Roman" w:eastAsia="Arial" w:hAnsi="Times New Roman" w:cs="Times New Roman"/>
          <w:bCs/>
          <w:sz w:val="24"/>
          <w:szCs w:val="24"/>
        </w:rPr>
        <w:t xml:space="preserve"> atendimento a necessidades e liberdades (inciso IV), a qualidade dos serviços (inciso V) e a inclusão financeira (inciso VI). Por outro lado, voltados ao interesse de preservação concorrencial são os princípios da promoção da competição (inciso II) e o de acesso não discriminatório a serviços e infraestruturas (inciso III).</w:t>
      </w:r>
    </w:p>
    <w:p w14:paraId="5A65BEA5"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Em seguida, a lei estabelece em seu artigo 6º “para os efeitos das normas aplicáveis aos arranjos e às instituições de pagamento que passam a integrar o Sistema de Pagamentos Brasileiro (SPB)”, considera-se arranjo de pagamento “o conjunto de regras e procedimentos que disciplina a prestação de determinado serviço de pagamento ao público aceito por mais de um recebedor, mediante acesso direto pelos usuários finais, pagadores e recebedores” (inciso I). Ou seja, quaisquer regras estabelecidas por um agente que conecte pagador e recebedor pode ser considerada um arranjo de pagamento. As bandeiras, por exemplo, são consideradas “instituidoras de arranjo de pagamento", visto que elas estabelecem regras para disciplinar transações de cartão de crédito, de débito ou pré-pago, de forma a viabilizar arranjos de pagamento ao conectar pagadores e recebedores com regras específicas.</w:t>
      </w:r>
    </w:p>
    <w:p w14:paraId="0C4FAEFD"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lastRenderedPageBreak/>
        <w:t xml:space="preserve">Mas não somente as bandeiras de cartão que instituem arranjos de pagamento, aplicando-se também ao Banco Central, o qual institui arranjos de pagamento como no caso do boleto, TED, DOC e, mais recentemente, no caso do Pix, estabelecendo as regras que permitem que pagadores e recebedores utilizem esses instrumentos, e através das instituições de pagamento, que tais pagamentos são devidamente instrumentalizados. Por fim, todas as instituições que gerenciam contas também são enquadradas com instituidoras de arranjo de pagamento, isso porque há os “arranjos </w:t>
      </w:r>
      <w:proofErr w:type="spellStart"/>
      <w:r w:rsidRPr="009C5701">
        <w:rPr>
          <w:rFonts w:ascii="Times New Roman" w:eastAsia="Arial" w:hAnsi="Times New Roman" w:cs="Times New Roman"/>
          <w:bCs/>
          <w:i/>
          <w:iCs/>
          <w:sz w:val="24"/>
          <w:szCs w:val="24"/>
        </w:rPr>
        <w:t>booktransfer</w:t>
      </w:r>
      <w:proofErr w:type="spellEnd"/>
      <w:r w:rsidRPr="009C5701">
        <w:rPr>
          <w:rFonts w:ascii="Times New Roman" w:eastAsia="Arial" w:hAnsi="Times New Roman" w:cs="Times New Roman"/>
          <w:bCs/>
          <w:sz w:val="24"/>
          <w:szCs w:val="24"/>
        </w:rPr>
        <w:t>”, viabilizando transferências internas, ou seja, entre contas de uma mesma instituição.</w:t>
      </w:r>
    </w:p>
    <w:p w14:paraId="67F8DABA"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Uma das modalidades mais importantes de arranjo de pagamento é o arranjo de cartão. Neste, há um mercado com dois lados: de um lado, pagadores (e.g. portadores dos cartões) contratando os serviços dos emissores dos cartões, e de outro os recebedores (e.g. estabelecimentos comerciais) contratando os serviços dos credenciadores, que habilitam a aceitação do instrumento de pagamento. Tanto o emissor quanto o credenciador são instituições de pagamento. Essas instituições, ao acessarem pagadores e recebedores, viabilizam a operacionalização dos serviços de pagamentos.</w:t>
      </w:r>
    </w:p>
    <w:p w14:paraId="50EC01F6"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Da mesma maneira, a lei ao conceituar instrumentos de pagamento, os define como “dispositivo ou conjunto de procedimentos acordado entre o usuário final e seu prestador de serviço de pagamento utilizado para iniciar uma transação de pagamento” (inciso V). É fundamental que esse instrumento inicie uma transação, seja ele um TED, DOC, Pix ou Boleto.</w:t>
      </w:r>
    </w:p>
    <w:p w14:paraId="091425E5" w14:textId="7C7DCB61"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Considerando esses </w:t>
      </w:r>
      <w:r w:rsidRPr="009C5701">
        <w:rPr>
          <w:rFonts w:ascii="Times New Roman" w:eastAsia="Arial" w:hAnsi="Times New Roman" w:cs="Times New Roman"/>
          <w:bCs/>
          <w:i/>
          <w:iCs/>
          <w:sz w:val="24"/>
          <w:szCs w:val="24"/>
        </w:rPr>
        <w:t>players</w:t>
      </w:r>
      <w:r w:rsidRPr="009C5701">
        <w:rPr>
          <w:rFonts w:ascii="Times New Roman" w:eastAsia="Arial" w:hAnsi="Times New Roman" w:cs="Times New Roman"/>
          <w:bCs/>
          <w:sz w:val="24"/>
          <w:szCs w:val="24"/>
        </w:rPr>
        <w:t xml:space="preserve">, cabe ao instituidor do arranjo de pagamento (leia-se, as bandeiras), estabelecer as modalidades de participação no arranjo. São exemplos de modalidades a emissão, o credenciamento e a instituição domicílio. Além dos emissores e credenciadoras, também há a instituição que o varejista, por exemplo, escolhe para receber os recebíveis de cartão dele decorrentes das transações. Imagine a seguinte situação: o portador paga sua fatura ao emissor, este paga o credenciador, o qual paga a instituição domicílio, ou seja, a instituição que gerencia a conta de pagamento ou a conta corrente indicada </w:t>
      </w:r>
      <w:r w:rsidR="007D1830" w:rsidRPr="009C5701">
        <w:rPr>
          <w:rFonts w:ascii="Times New Roman" w:eastAsia="Arial" w:hAnsi="Times New Roman" w:cs="Times New Roman"/>
          <w:bCs/>
          <w:sz w:val="24"/>
          <w:szCs w:val="24"/>
        </w:rPr>
        <w:t>pelo</w:t>
      </w:r>
      <w:r w:rsidRPr="009C5701">
        <w:rPr>
          <w:rFonts w:ascii="Times New Roman" w:eastAsia="Arial" w:hAnsi="Times New Roman" w:cs="Times New Roman"/>
          <w:bCs/>
          <w:sz w:val="24"/>
          <w:szCs w:val="24"/>
        </w:rPr>
        <w:t xml:space="preserve"> varejista para o recebimento dos recursos das transações por ele efetuadas.</w:t>
      </w:r>
    </w:p>
    <w:p w14:paraId="64FE6867" w14:textId="77777777"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Desse arranjo, surgem três direitos creditórios (também denominados de recebíveis de cartão) principais: um recebível de cartão do emissor contra o portador, que passa a ter uma dívida com o emissor do cartão de pagar sua fatura; um direito creditório do credenciador contra o emissor, que passa a ter um direito de receber do emissor do cartão o valor da transação, descontada a remuneração do emissor; e, por fim, um </w:t>
      </w:r>
      <w:r w:rsidRPr="009C5701">
        <w:rPr>
          <w:rFonts w:ascii="Times New Roman" w:eastAsia="Arial" w:hAnsi="Times New Roman" w:cs="Times New Roman"/>
          <w:bCs/>
          <w:sz w:val="24"/>
          <w:szCs w:val="24"/>
        </w:rPr>
        <w:lastRenderedPageBreak/>
        <w:t>recebível do lojista contra o credenciador (leia-se maquininha do cartão), descontada a taxa por ele cobrada.</w:t>
      </w:r>
    </w:p>
    <w:p w14:paraId="0EF829B0" w14:textId="1E513AA1"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Dando seguimento às modalidades de participação, é importante pontuar que estas são desempenhadas, </w:t>
      </w:r>
      <w:r w:rsidR="007D1830" w:rsidRPr="009C5701">
        <w:rPr>
          <w:rFonts w:ascii="Times New Roman" w:eastAsia="Arial" w:hAnsi="Times New Roman" w:cs="Times New Roman"/>
          <w:bCs/>
          <w:sz w:val="24"/>
          <w:szCs w:val="24"/>
        </w:rPr>
        <w:t>geralmente</w:t>
      </w:r>
      <w:r w:rsidRPr="009C5701">
        <w:rPr>
          <w:rFonts w:ascii="Times New Roman" w:eastAsia="Arial" w:hAnsi="Times New Roman" w:cs="Times New Roman"/>
          <w:bCs/>
          <w:sz w:val="24"/>
          <w:szCs w:val="24"/>
        </w:rPr>
        <w:t xml:space="preserve">, pelas instituições de pagamento, cabendo ao Banco Central estabelecer quais modalidades de </w:t>
      </w:r>
      <w:proofErr w:type="spellStart"/>
      <w:r w:rsidRPr="009C5701">
        <w:rPr>
          <w:rFonts w:ascii="Times New Roman" w:eastAsia="Arial" w:hAnsi="Times New Roman" w:cs="Times New Roman"/>
          <w:bCs/>
          <w:sz w:val="24"/>
          <w:szCs w:val="24"/>
        </w:rPr>
        <w:t>IPs</w:t>
      </w:r>
      <w:proofErr w:type="spellEnd"/>
      <w:r w:rsidRPr="009C5701">
        <w:rPr>
          <w:rFonts w:ascii="Times New Roman" w:eastAsia="Arial" w:hAnsi="Times New Roman" w:cs="Times New Roman"/>
          <w:bCs/>
          <w:sz w:val="24"/>
          <w:szCs w:val="24"/>
        </w:rPr>
        <w:t xml:space="preserve"> oferecem essas soluções. Atualmente, há quatro modalidades principais de </w:t>
      </w:r>
      <w:proofErr w:type="spellStart"/>
      <w:r w:rsidRPr="009C5701">
        <w:rPr>
          <w:rFonts w:ascii="Times New Roman" w:eastAsia="Arial" w:hAnsi="Times New Roman" w:cs="Times New Roman"/>
          <w:bCs/>
          <w:sz w:val="24"/>
          <w:szCs w:val="24"/>
        </w:rPr>
        <w:t>IPs</w:t>
      </w:r>
      <w:proofErr w:type="spellEnd"/>
      <w:r w:rsidRPr="009C5701">
        <w:rPr>
          <w:rFonts w:ascii="Times New Roman" w:eastAsia="Arial" w:hAnsi="Times New Roman" w:cs="Times New Roman"/>
          <w:bCs/>
          <w:sz w:val="24"/>
          <w:szCs w:val="24"/>
        </w:rPr>
        <w:t>: credenciadoras, emissoras de moeda eletrônica (também conhecidas como instituições de pagamento que gerenciam contas de pagamento pré-pagas), emissoras de instrumento de pagamento pós-pago (também conhecidas como instituições de pagamento que gerenciam contas de pagamento pós-paga) e as iniciadoras de transação de pagamento.</w:t>
      </w:r>
    </w:p>
    <w:p w14:paraId="6163F87D" w14:textId="41CCA75D" w:rsidR="009C5701" w:rsidRPr="009C5701" w:rsidRDefault="009C5701" w:rsidP="00D61DCB">
      <w:pPr>
        <w:spacing w:after="0" w:line="360" w:lineRule="auto"/>
        <w:ind w:firstLine="708"/>
        <w:jc w:val="both"/>
        <w:rPr>
          <w:rFonts w:ascii="Times New Roman" w:eastAsia="Arial" w:hAnsi="Times New Roman" w:cs="Times New Roman"/>
          <w:bCs/>
          <w:sz w:val="24"/>
          <w:szCs w:val="24"/>
        </w:rPr>
      </w:pPr>
      <w:r w:rsidRPr="009C5701">
        <w:rPr>
          <w:rFonts w:ascii="Times New Roman" w:eastAsia="Arial" w:hAnsi="Times New Roman" w:cs="Times New Roman"/>
          <w:bCs/>
          <w:sz w:val="24"/>
          <w:szCs w:val="24"/>
        </w:rPr>
        <w:t xml:space="preserve">Tais instituições pertencem ao Sistema de Pagamentos Brasileiro (SPB), de forma que elas não são consideradas instituições financeiras, sendo inclusive vedado a elas </w:t>
      </w:r>
      <w:r w:rsidR="000E29F4" w:rsidRPr="009C5701">
        <w:rPr>
          <w:rFonts w:ascii="Times New Roman" w:eastAsia="Arial" w:hAnsi="Times New Roman" w:cs="Times New Roman"/>
          <w:bCs/>
          <w:sz w:val="24"/>
          <w:szCs w:val="24"/>
        </w:rPr>
        <w:t>realizarem</w:t>
      </w:r>
      <w:r w:rsidRPr="009C5701">
        <w:rPr>
          <w:rFonts w:ascii="Times New Roman" w:eastAsia="Arial" w:hAnsi="Times New Roman" w:cs="Times New Roman"/>
          <w:bCs/>
          <w:sz w:val="24"/>
          <w:szCs w:val="24"/>
        </w:rPr>
        <w:t xml:space="preserve"> atividades privativas de instituições financeiras, nos termos da Lei 4.595/64. Cabe ao Banco Central disciplinar o processo de autorização dessas instituições e os requisitos obrigatórios, como a manutenção de capital social e patrimônio líquido mínimos, e o tratamento de riscos de liquidez, de crédito e operacionais, visto que as </w:t>
      </w:r>
      <w:proofErr w:type="spellStart"/>
      <w:r w:rsidRPr="009C5701">
        <w:rPr>
          <w:rFonts w:ascii="Times New Roman" w:eastAsia="Arial" w:hAnsi="Times New Roman" w:cs="Times New Roman"/>
          <w:bCs/>
          <w:sz w:val="24"/>
          <w:szCs w:val="24"/>
        </w:rPr>
        <w:t>IPs</w:t>
      </w:r>
      <w:proofErr w:type="spellEnd"/>
      <w:r w:rsidRPr="009C5701">
        <w:rPr>
          <w:rFonts w:ascii="Times New Roman" w:eastAsia="Arial" w:hAnsi="Times New Roman" w:cs="Times New Roman"/>
          <w:bCs/>
          <w:sz w:val="24"/>
          <w:szCs w:val="24"/>
        </w:rPr>
        <w:t xml:space="preserve"> se diferem das </w:t>
      </w:r>
      <w:proofErr w:type="spellStart"/>
      <w:r w:rsidRPr="009C5701">
        <w:rPr>
          <w:rFonts w:ascii="Times New Roman" w:eastAsia="Arial" w:hAnsi="Times New Roman" w:cs="Times New Roman"/>
          <w:bCs/>
          <w:sz w:val="24"/>
          <w:szCs w:val="24"/>
        </w:rPr>
        <w:t>IFs</w:t>
      </w:r>
      <w:proofErr w:type="spellEnd"/>
      <w:r w:rsidRPr="009C5701">
        <w:rPr>
          <w:rFonts w:ascii="Times New Roman" w:eastAsia="Arial" w:hAnsi="Times New Roman" w:cs="Times New Roman"/>
          <w:bCs/>
          <w:sz w:val="24"/>
          <w:szCs w:val="24"/>
        </w:rPr>
        <w:t xml:space="preserve"> tanto em sua atividade quanto em seus riscos, merecendo disciplina e fiscalização próprias.</w:t>
      </w:r>
    </w:p>
    <w:p w14:paraId="5340AC0D" w14:textId="77777777" w:rsidR="009C5701" w:rsidRPr="009C5701" w:rsidRDefault="009C5701" w:rsidP="00D61DCB">
      <w:pPr>
        <w:spacing w:after="0"/>
        <w:rPr>
          <w:rFonts w:ascii="Times New Roman" w:eastAsia="Arial" w:hAnsi="Times New Roman" w:cs="Times New Roman"/>
          <w:b/>
          <w:sz w:val="24"/>
          <w:szCs w:val="24"/>
        </w:rPr>
      </w:pPr>
    </w:p>
    <w:p w14:paraId="731543FD" w14:textId="1A59B208" w:rsidR="009C5701" w:rsidRPr="005E18DC" w:rsidRDefault="00730916" w:rsidP="005E18DC">
      <w:pPr>
        <w:pStyle w:val="Ttulo3"/>
        <w:spacing w:before="0" w:after="0"/>
        <w:rPr>
          <w:rFonts w:ascii="Times New Roman" w:hAnsi="Times New Roman" w:cs="Times New Roman"/>
          <w:b/>
          <w:bCs/>
          <w:color w:val="auto"/>
          <w:sz w:val="24"/>
          <w:szCs w:val="24"/>
        </w:rPr>
      </w:pPr>
      <w:bookmarkStart w:id="9" w:name="_Toc201336659"/>
      <w:r w:rsidRPr="005E18DC">
        <w:rPr>
          <w:rFonts w:ascii="Times New Roman" w:hAnsi="Times New Roman" w:cs="Times New Roman"/>
          <w:b/>
          <w:bCs/>
          <w:color w:val="auto"/>
          <w:sz w:val="24"/>
          <w:szCs w:val="24"/>
        </w:rPr>
        <w:t>2.</w:t>
      </w:r>
      <w:r w:rsidR="009C5701" w:rsidRPr="005E18DC">
        <w:rPr>
          <w:rFonts w:ascii="Times New Roman" w:hAnsi="Times New Roman" w:cs="Times New Roman"/>
          <w:b/>
          <w:bCs/>
          <w:color w:val="auto"/>
          <w:sz w:val="24"/>
          <w:szCs w:val="24"/>
        </w:rPr>
        <w:t>2.</w:t>
      </w:r>
      <w:r w:rsidRPr="005E18DC">
        <w:rPr>
          <w:rFonts w:ascii="Times New Roman" w:hAnsi="Times New Roman" w:cs="Times New Roman"/>
          <w:b/>
          <w:bCs/>
          <w:color w:val="auto"/>
          <w:sz w:val="24"/>
          <w:szCs w:val="24"/>
        </w:rPr>
        <w:t xml:space="preserve">1. </w:t>
      </w:r>
      <w:r w:rsidR="009C5701" w:rsidRPr="005E18DC">
        <w:rPr>
          <w:rFonts w:ascii="Times New Roman" w:hAnsi="Times New Roman" w:cs="Times New Roman"/>
          <w:b/>
          <w:bCs/>
          <w:color w:val="auto"/>
          <w:sz w:val="24"/>
          <w:szCs w:val="24"/>
        </w:rPr>
        <w:t>Tipologia das Instituições de Pagamento</w:t>
      </w:r>
      <w:bookmarkEnd w:id="9"/>
    </w:p>
    <w:p w14:paraId="49860F86" w14:textId="77777777" w:rsidR="00D61DCB" w:rsidRPr="009C5701" w:rsidRDefault="00D61DCB" w:rsidP="00D61DCB">
      <w:pPr>
        <w:spacing w:after="0" w:line="276" w:lineRule="auto"/>
        <w:jc w:val="both"/>
        <w:rPr>
          <w:rFonts w:ascii="Times New Roman" w:eastAsia="Arial" w:hAnsi="Times New Roman" w:cs="Times New Roman"/>
          <w:b/>
          <w:bCs/>
          <w:sz w:val="24"/>
          <w:szCs w:val="24"/>
        </w:rPr>
      </w:pPr>
    </w:p>
    <w:p w14:paraId="11DE35E0" w14:textId="77777777"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Conforme tratado, as instituições de pagamento no Brasil são regulamentadas pela Lei 12.865/2013, que reconheceu sua atividade distinta das atividades financeiras tradicionais. Enquanto as instituições financeiras se dedicam principalmente à coleta, intermediação e aplicação de recursos financeiros próprios ou de terceiros, as instituições de pagamento viabilizam operações de pagamento, como transferências e gestão de contas de pagamento. </w:t>
      </w:r>
    </w:p>
    <w:p w14:paraId="14C59AAF" w14:textId="77777777"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As instituições financeiras captam recursos para posterior aplicação, oferecendo serviços como empréstimos e financiamentos. Por outro lado, as instituições de pagamento armazenam recursos de seus clientes em contas específicas, que não se confundem com o patrimônio da empresa, e não podem utilizar esses recursos para conceder crédito. Isso garante que os valores mantidos sejam destinados exclusivamente para operações de pagamento.</w:t>
      </w:r>
    </w:p>
    <w:p w14:paraId="7BCBE9E9" w14:textId="77777777"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lastRenderedPageBreak/>
        <w:t>As instituições de pagamento podem realizar uma série de atividades, incluindo a gestão de contas de pagamento, a emissão de instrumentos de pagamento (como cartões pré-pagos e cartões de crédito), e o processamento de transferências e saques. É importante notar que, embora possam emitir cartões de crédito, elas não podem oferecer crédito diretamente, o que configuraria atividade privativa de instituição financeira.</w:t>
      </w:r>
    </w:p>
    <w:p w14:paraId="58D994A4" w14:textId="77777777"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De forma a garantir a proteção dos recursos dos usuários, os saldos armazenados em contas de pagamento são mantidos separados do patrimônio da instituição e depositados em contas específicas no Banco Central ou em títulos públicos federais, impedindo que os recursos dos clientes sejam utilizados para outros fins.</w:t>
      </w:r>
    </w:p>
    <w:p w14:paraId="2E28414E" w14:textId="77777777"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 xml:space="preserve">As </w:t>
      </w:r>
      <w:proofErr w:type="spellStart"/>
      <w:r w:rsidRPr="009C5701">
        <w:rPr>
          <w:rFonts w:ascii="Times New Roman" w:eastAsia="Arial" w:hAnsi="Times New Roman" w:cs="Times New Roman"/>
          <w:sz w:val="24"/>
          <w:szCs w:val="24"/>
        </w:rPr>
        <w:t>IPs</w:t>
      </w:r>
      <w:proofErr w:type="spellEnd"/>
      <w:r w:rsidRPr="009C5701">
        <w:rPr>
          <w:rFonts w:ascii="Times New Roman" w:eastAsia="Arial" w:hAnsi="Times New Roman" w:cs="Times New Roman"/>
          <w:sz w:val="24"/>
          <w:szCs w:val="24"/>
        </w:rPr>
        <w:t xml:space="preserve"> atuam na movimentação de recursos voltados para o pagamento, logo, é focada em facilitar ao cidadão a realização de pagamento e à empresa o recebimento desse pagamento. O Banco Central classifica essas instituições em quatro modalidades principais: Emissoras de Moeda Eletrônica, Emissoras de Instrumento de Pagamento Pós-Pago, Credenciadoras e Iniciadoras de Transação de Pagamento. Essa classificação visa diferenciar as atividades realizadas e garantir que cada tipo de instituição atue de acordo com seu perfil e riscos inerentes.</w:t>
      </w:r>
    </w:p>
    <w:p w14:paraId="595E0C20" w14:textId="32255E8D"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As Instituições Emissoras de Moeda Eletrônica, as quais gerenciam contas de pagamento pré-paga. Elas armazenam recursos em moeda eletrônica e oferecem contas de pagamento para que os usuários realizem transações eletrônicas. Sua função principal é converter moeda física ou escritural em moeda eletrônica e armazená-la em contas digitais, devendo os recursos estarem totalmente lastreados em espécie (recursos do Banco Central) ou títulos públicos. Importante frisar que moeda eletrônica não corresponde a um sinônimo de token ou criptoativo: nada mais é do que o real representado numa conta pré-paga, via de regra</w:t>
      </w:r>
      <w:r w:rsidR="000E29F4">
        <w:rPr>
          <w:rFonts w:ascii="Times New Roman" w:eastAsia="Arial" w:hAnsi="Times New Roman" w:cs="Times New Roman"/>
          <w:sz w:val="24"/>
          <w:szCs w:val="24"/>
        </w:rPr>
        <w:t>,</w:t>
      </w:r>
      <w:r w:rsidRPr="009C5701">
        <w:rPr>
          <w:rFonts w:ascii="Times New Roman" w:eastAsia="Arial" w:hAnsi="Times New Roman" w:cs="Times New Roman"/>
          <w:sz w:val="24"/>
          <w:szCs w:val="24"/>
        </w:rPr>
        <w:t xml:space="preserve"> digital</w:t>
      </w:r>
      <w:r w:rsidR="001400C5">
        <w:rPr>
          <w:rStyle w:val="Refdenotaderodap"/>
          <w:rFonts w:ascii="Times New Roman" w:eastAsia="Arial" w:hAnsi="Times New Roman" w:cs="Times New Roman"/>
          <w:sz w:val="24"/>
          <w:szCs w:val="24"/>
        </w:rPr>
        <w:footnoteReference w:id="2"/>
      </w:r>
      <w:r w:rsidRPr="009C5701">
        <w:rPr>
          <w:rFonts w:ascii="Times New Roman" w:eastAsia="Arial" w:hAnsi="Times New Roman" w:cs="Times New Roman"/>
          <w:sz w:val="24"/>
          <w:szCs w:val="24"/>
        </w:rPr>
        <w:t>.</w:t>
      </w:r>
    </w:p>
    <w:p w14:paraId="080409B6" w14:textId="6ADAC209"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 xml:space="preserve">Já as Instituições Emissoras de Instrumentos de Pagamento Pós-Pago são aquelas que emitem instrumentos de pagamento que possibilitam ao usuário realizar compras e serviços, com pagamento posterior, como é o caso das emissoras de cartão de crédito, permitindo transações sem aporte prévio de recursos. Devem se integrar ao Sistema de Informações de Créditos (SCR) se atingirem certo volume financeiro. É importante frisar que essas instituições não oferecem crédito, somente emitem o cartão, visto que a oferta </w:t>
      </w:r>
      <w:r w:rsidRPr="009C5701">
        <w:rPr>
          <w:rFonts w:ascii="Times New Roman" w:eastAsia="Arial" w:hAnsi="Times New Roman" w:cs="Times New Roman"/>
          <w:sz w:val="24"/>
          <w:szCs w:val="24"/>
        </w:rPr>
        <w:lastRenderedPageBreak/>
        <w:t xml:space="preserve">de crédito é atividade privativa das instituições financeiras. Cabe às </w:t>
      </w:r>
      <w:proofErr w:type="spellStart"/>
      <w:r w:rsidRPr="009C5701">
        <w:rPr>
          <w:rFonts w:ascii="Times New Roman" w:eastAsia="Arial" w:hAnsi="Times New Roman" w:cs="Times New Roman"/>
          <w:sz w:val="24"/>
          <w:szCs w:val="24"/>
        </w:rPr>
        <w:t>IPs</w:t>
      </w:r>
      <w:proofErr w:type="spellEnd"/>
      <w:r w:rsidRPr="009C5701">
        <w:rPr>
          <w:rFonts w:ascii="Times New Roman" w:eastAsia="Arial" w:hAnsi="Times New Roman" w:cs="Times New Roman"/>
          <w:sz w:val="24"/>
          <w:szCs w:val="24"/>
        </w:rPr>
        <w:t xml:space="preserve"> somente emitir o documento e disponibilizá-lo ao recebedor.</w:t>
      </w:r>
    </w:p>
    <w:p w14:paraId="1DF535AE" w14:textId="77777777"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As Instituições de Pagamento Credenciadoras, por sua vez, habilitam estabelecimentos comerciais para aceitar pagamentos eletrônicos, viabilizando essa aceitação através de três verbos principais: capturar, processar e liquidar, de maneira que elas capturam, processam e liquidam as transações realizadas com cartão, recebem os recursos e repassando-os aos lojistas. Elas capturam e liquidam as transações financeiras, além de também poderem realizar antecipação de recebíveis para os comerciantes, conforme será tratado mais adiante.</w:t>
      </w:r>
    </w:p>
    <w:p w14:paraId="63190E47" w14:textId="339930F3" w:rsidR="009C5701" w:rsidRPr="009C5701" w:rsidRDefault="009C5701" w:rsidP="00D61DCB">
      <w:pPr>
        <w:spacing w:after="0" w:line="360" w:lineRule="auto"/>
        <w:ind w:firstLine="708"/>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 xml:space="preserve">Por fim, as Iniciadoras de Transação de Pagamento não detêm fundos, apenas iniciam a transação de pagamento com autorização do usuário, oferecendo maior flexibilidade nas operações. Elas não permeiam o fluxo financeiro, mas tão somente iniciam e comandam essas operações. Dessa forma, elas são reguladas visto que elas permeiam o fluxo informacional da transação, acessando dados dos pagadores e dos recebedores, devendo adotar todos os mecanismos de controle e gerenciamento de riscos para que as informações não sejam indevidamente compartilhadas. Note que </w:t>
      </w:r>
      <w:r w:rsidR="00347B8D" w:rsidRPr="009C5701">
        <w:rPr>
          <w:rFonts w:ascii="Times New Roman" w:eastAsia="Arial" w:hAnsi="Times New Roman" w:cs="Times New Roman"/>
          <w:sz w:val="24"/>
          <w:szCs w:val="24"/>
        </w:rPr>
        <w:t>pode haver</w:t>
      </w:r>
      <w:r w:rsidRPr="009C5701">
        <w:rPr>
          <w:rFonts w:ascii="Times New Roman" w:eastAsia="Arial" w:hAnsi="Times New Roman" w:cs="Times New Roman"/>
          <w:sz w:val="24"/>
          <w:szCs w:val="24"/>
        </w:rPr>
        <w:t xml:space="preserve"> outras, como as Instituições Liquidantes Especiais (i.e. Clearing </w:t>
      </w:r>
      <w:proofErr w:type="spellStart"/>
      <w:r w:rsidRPr="009C5701">
        <w:rPr>
          <w:rFonts w:ascii="Times New Roman" w:eastAsia="Arial" w:hAnsi="Times New Roman" w:cs="Times New Roman"/>
          <w:sz w:val="24"/>
          <w:szCs w:val="24"/>
        </w:rPr>
        <w:t>Houses</w:t>
      </w:r>
      <w:proofErr w:type="spellEnd"/>
      <w:r w:rsidRPr="009C5701">
        <w:rPr>
          <w:rFonts w:ascii="Times New Roman" w:eastAsia="Arial" w:hAnsi="Times New Roman" w:cs="Times New Roman"/>
          <w:sz w:val="24"/>
          <w:szCs w:val="24"/>
        </w:rPr>
        <w:t>) e as Instituições de Pagamento Mistas.</w:t>
      </w:r>
    </w:p>
    <w:p w14:paraId="5345B13A" w14:textId="77777777" w:rsidR="009C5701" w:rsidRPr="009C5701" w:rsidRDefault="009C5701" w:rsidP="00D61DCB">
      <w:pPr>
        <w:spacing w:after="0" w:line="360" w:lineRule="auto"/>
        <w:jc w:val="both"/>
        <w:rPr>
          <w:rFonts w:ascii="Times New Roman" w:eastAsia="Arial" w:hAnsi="Times New Roman" w:cs="Times New Roman"/>
          <w:sz w:val="24"/>
          <w:szCs w:val="24"/>
        </w:rPr>
      </w:pPr>
      <w:r w:rsidRPr="009C5701">
        <w:rPr>
          <w:rFonts w:ascii="Times New Roman" w:eastAsia="Arial" w:hAnsi="Times New Roman" w:cs="Times New Roman"/>
          <w:sz w:val="24"/>
          <w:szCs w:val="24"/>
        </w:rPr>
        <w:tab/>
        <w:t>Nesse sentido, observa-se que as instituições de pagamento surgiram para facilitar as operações financeiras no ambiente digital, especialmente com o crescimento dos meios eletrônicos de pagamento, como cartões e transferências instantâneas (Pix).</w:t>
      </w:r>
    </w:p>
    <w:p w14:paraId="33ACEC71" w14:textId="77777777" w:rsidR="009C5701" w:rsidRPr="009C5701" w:rsidRDefault="009C5701" w:rsidP="00D61DCB">
      <w:pPr>
        <w:spacing w:after="0"/>
        <w:jc w:val="both"/>
        <w:rPr>
          <w:rFonts w:ascii="Times New Roman" w:eastAsia="Arial" w:hAnsi="Times New Roman" w:cs="Times New Roman"/>
          <w:sz w:val="24"/>
          <w:szCs w:val="24"/>
        </w:rPr>
      </w:pPr>
    </w:p>
    <w:tbl>
      <w:tblPr>
        <w:tblW w:w="9026" w:type="dxa"/>
        <w:tblCellMar>
          <w:top w:w="15" w:type="dxa"/>
          <w:left w:w="15" w:type="dxa"/>
          <w:bottom w:w="15" w:type="dxa"/>
          <w:right w:w="15" w:type="dxa"/>
        </w:tblCellMar>
        <w:tblLook w:val="04A0" w:firstRow="1" w:lastRow="0" w:firstColumn="1" w:lastColumn="0" w:noHBand="0" w:noVBand="1"/>
      </w:tblPr>
      <w:tblGrid>
        <w:gridCol w:w="1809"/>
        <w:gridCol w:w="2799"/>
        <w:gridCol w:w="1668"/>
        <w:gridCol w:w="2750"/>
      </w:tblGrid>
      <w:tr w:rsidR="009C5701" w:rsidRPr="009C5701" w14:paraId="09C09014" w14:textId="77777777" w:rsidTr="009C57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773E2"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Modalidade de 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56DDC"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Serviços de Pagamento Prestados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452B5"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Necessidade de Autorização do Banco Central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5D607"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Exemplo</w:t>
            </w:r>
          </w:p>
        </w:tc>
      </w:tr>
      <w:tr w:rsidR="009C5701" w:rsidRPr="009C5701" w14:paraId="06DFF04A" w14:textId="77777777" w:rsidTr="009C57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41852"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IPEME (Instituição de Pagamento Emissora de Moeda Eletrônica)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5DF74"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Gerir conta de pagamento pré-paga, na qual os recursos devem ser aportados previamente pelo cliente.</w:t>
            </w:r>
          </w:p>
          <w:p w14:paraId="1E5A1A91"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Emitir instrumento de pagamento pré-pago, executando transações de pagamento com base nele</w:t>
            </w:r>
          </w:p>
          <w:p w14:paraId="01B9F3B6"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 xml:space="preserve">Executar instruções de pagamento, incluindo aporte ou saque de recursos, remessa de fundos e conversão de moeda </w:t>
            </w:r>
            <w:r w:rsidRPr="009C5701">
              <w:rPr>
                <w:rFonts w:ascii="Times New Roman" w:eastAsia="Arial" w:hAnsi="Times New Roman" w:cs="Times New Roman"/>
                <w:sz w:val="20"/>
                <w:szCs w:val="20"/>
              </w:rPr>
              <w:lastRenderedPageBreak/>
              <w:t>física ou escritural em moeda eletrônica.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74816"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lastRenderedPageBreak/>
              <w:t>Sim, de modo prévio ao funcionamento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54BF6"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Instituição que disponibiliza cartões do tipo pré-pagos para realização de transações de pagamento.</w:t>
            </w:r>
          </w:p>
        </w:tc>
      </w:tr>
      <w:tr w:rsidR="009C5701" w:rsidRPr="009C5701" w14:paraId="79DED737" w14:textId="77777777" w:rsidTr="009C57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20B24"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IPEIPP (Emissoras de Instrumento de Pagamento Pós-Pago)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25020"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Gerir conta de pagamento pós-paga, na qual os recursos são aportados para o pagamento de débitos já assumidos, admitindo a realização de transações de pagamento sem o aporte prévio de moeda.</w:t>
            </w:r>
          </w:p>
          <w:p w14:paraId="5608B29E"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Emitir instrumento de pagamento pós-pago (como cartão de crédito), executando transações de pagamento com base nele.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92CD2"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Sim, após o alcance de volumetria específica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92A77"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Instituição emissora de cartão de crédito</w:t>
            </w:r>
          </w:p>
        </w:tc>
      </w:tr>
      <w:tr w:rsidR="009C5701" w:rsidRPr="009C5701" w14:paraId="77C76549" w14:textId="77777777" w:rsidTr="009C57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35DD3"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Credenciadora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369CE"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Credenciar a aceitação de instrumento de pagamento, habilitando seus clientes para recebimento de transações por ele originadas.</w:t>
            </w:r>
          </w:p>
          <w:p w14:paraId="7BDECAF1"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Executar instruções de pagamento realizadas com instrumentos de pagamento, recebendo recursos de seus emissores e liquidando-os aos seus clientes (atua como credor perante o emissor).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C67DA"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Sim, após o alcance de volumetria específica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8EA0B"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Instituição que disponibiliza terminal ao comércio físico (e.g. a “maquininha” ou POS) ou conexão tecnológica ao comércio eletrônico, tornando-os aptos para a aceitação de cartões.</w:t>
            </w:r>
          </w:p>
        </w:tc>
      </w:tr>
      <w:tr w:rsidR="009C5701" w:rsidRPr="009C5701" w14:paraId="1CF70CF9" w14:textId="77777777" w:rsidTr="009C570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591B0"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IPITP (Iniciadoras de Transação de Pagamento)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2E3A2"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Executar iniciação de transações de pagamento, sem deter as contas nem os recursos envolvidos na prestação do serviço.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37766"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Sim, de modo prévio ao funcionamento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84AB6" w14:textId="77777777" w:rsidR="009C5701" w:rsidRPr="009C5701" w:rsidRDefault="009C5701" w:rsidP="00730916">
            <w:pPr>
              <w:jc w:val="both"/>
              <w:rPr>
                <w:rFonts w:ascii="Times New Roman" w:eastAsia="Arial" w:hAnsi="Times New Roman" w:cs="Times New Roman"/>
                <w:sz w:val="20"/>
                <w:szCs w:val="20"/>
              </w:rPr>
            </w:pPr>
            <w:r w:rsidRPr="009C5701">
              <w:rPr>
                <w:rFonts w:ascii="Times New Roman" w:eastAsia="Arial" w:hAnsi="Times New Roman" w:cs="Times New Roman"/>
                <w:sz w:val="20"/>
                <w:szCs w:val="20"/>
              </w:rPr>
              <w:t>Instituição que efetua uma transação de pagamento a partir de uma conta transacional de seu cliente, mediante sua autorização, sendo esta conta gerida por outra instituição.  </w:t>
            </w:r>
          </w:p>
        </w:tc>
      </w:tr>
    </w:tbl>
    <w:p w14:paraId="04C7AFC3" w14:textId="0AE55A4B" w:rsidR="008A7972" w:rsidRDefault="001400C5" w:rsidP="000E29F4">
      <w:pPr>
        <w:spacing w:after="0"/>
        <w:jc w:val="center"/>
        <w:rPr>
          <w:rFonts w:ascii="Times New Roman" w:eastAsia="Arial" w:hAnsi="Times New Roman" w:cs="Times New Roman"/>
          <w:bCs/>
          <w:sz w:val="24"/>
          <w:szCs w:val="24"/>
        </w:rPr>
      </w:pPr>
      <w:r w:rsidRPr="00AF59CF">
        <w:rPr>
          <w:rFonts w:ascii="Times New Roman" w:eastAsia="Arial" w:hAnsi="Times New Roman" w:cs="Times New Roman"/>
          <w:bCs/>
          <w:sz w:val="24"/>
          <w:szCs w:val="24"/>
        </w:rPr>
        <w:t xml:space="preserve">Tabela </w:t>
      </w:r>
      <w:r w:rsidR="00422F19" w:rsidRPr="00AF59CF">
        <w:rPr>
          <w:rFonts w:ascii="Times New Roman" w:eastAsia="Arial" w:hAnsi="Times New Roman" w:cs="Times New Roman"/>
          <w:bCs/>
          <w:sz w:val="24"/>
          <w:szCs w:val="24"/>
        </w:rPr>
        <w:t>1</w:t>
      </w:r>
    </w:p>
    <w:p w14:paraId="1022E34D" w14:textId="77777777" w:rsidR="001400C5" w:rsidRPr="001400C5" w:rsidRDefault="001400C5" w:rsidP="002B1E10">
      <w:pPr>
        <w:spacing w:after="0"/>
        <w:rPr>
          <w:rFonts w:ascii="Times New Roman" w:eastAsia="Arial" w:hAnsi="Times New Roman" w:cs="Times New Roman"/>
          <w:bCs/>
          <w:sz w:val="24"/>
          <w:szCs w:val="24"/>
        </w:rPr>
      </w:pPr>
    </w:p>
    <w:p w14:paraId="7C97B3FD" w14:textId="066D431D" w:rsidR="00D61DCB" w:rsidRPr="005E18DC" w:rsidRDefault="00D34A9A" w:rsidP="005E18DC">
      <w:pPr>
        <w:pStyle w:val="Ttulo3"/>
        <w:spacing w:before="0" w:after="0"/>
        <w:rPr>
          <w:rFonts w:ascii="Times New Roman" w:hAnsi="Times New Roman" w:cs="Times New Roman"/>
          <w:b/>
          <w:bCs/>
          <w:color w:val="auto"/>
          <w:sz w:val="24"/>
          <w:szCs w:val="24"/>
        </w:rPr>
      </w:pPr>
      <w:bookmarkStart w:id="10" w:name="_Toc201336660"/>
      <w:r w:rsidRPr="005E18DC">
        <w:rPr>
          <w:rFonts w:ascii="Times New Roman" w:hAnsi="Times New Roman" w:cs="Times New Roman"/>
          <w:b/>
          <w:bCs/>
          <w:color w:val="auto"/>
          <w:sz w:val="24"/>
          <w:szCs w:val="24"/>
        </w:rPr>
        <w:t xml:space="preserve">2.2.2. </w:t>
      </w:r>
      <w:r w:rsidR="00C662C0" w:rsidRPr="005E18DC">
        <w:rPr>
          <w:rFonts w:ascii="Times New Roman" w:hAnsi="Times New Roman" w:cs="Times New Roman"/>
          <w:b/>
          <w:bCs/>
          <w:color w:val="auto"/>
          <w:sz w:val="24"/>
          <w:szCs w:val="24"/>
        </w:rPr>
        <w:t>Cartões de Crédito</w:t>
      </w:r>
      <w:bookmarkEnd w:id="10"/>
    </w:p>
    <w:p w14:paraId="22B28D62" w14:textId="77777777" w:rsidR="00D61DCB" w:rsidRDefault="00D61DCB" w:rsidP="00D61DCB">
      <w:pPr>
        <w:spacing w:after="0" w:line="276" w:lineRule="auto"/>
        <w:rPr>
          <w:rFonts w:ascii="Times New Roman" w:eastAsia="Arial" w:hAnsi="Times New Roman" w:cs="Times New Roman"/>
          <w:b/>
          <w:sz w:val="24"/>
          <w:szCs w:val="24"/>
        </w:rPr>
      </w:pPr>
    </w:p>
    <w:p w14:paraId="0649225F" w14:textId="3FD1543B" w:rsidR="00C662C0" w:rsidRPr="00C662C0" w:rsidRDefault="00C662C0" w:rsidP="00D61DCB">
      <w:pPr>
        <w:spacing w:after="0" w:line="360" w:lineRule="auto"/>
        <w:ind w:firstLine="708"/>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Os cartões de crédito têm duas finalidades principais no Brasil: primeira é a possibilidade d</w:t>
      </w:r>
      <w:r w:rsidR="00606C08">
        <w:rPr>
          <w:rFonts w:ascii="Times New Roman" w:eastAsia="Arial" w:hAnsi="Times New Roman" w:cs="Times New Roman"/>
          <w:bCs/>
          <w:sz w:val="24"/>
          <w:szCs w:val="24"/>
        </w:rPr>
        <w:t>e os</w:t>
      </w:r>
      <w:r w:rsidRPr="00C662C0">
        <w:rPr>
          <w:rFonts w:ascii="Times New Roman" w:eastAsia="Arial" w:hAnsi="Times New Roman" w:cs="Times New Roman"/>
          <w:bCs/>
          <w:sz w:val="24"/>
          <w:szCs w:val="24"/>
        </w:rPr>
        <w:t xml:space="preserve"> usuários realizarem compras e pagamentos pela simples apresentação do cartão na rede credenciada de fornecedores, evitando o porte de numerário. Os fornecedores em questão são reembolsados dos gastos com o cartão de crédito por entidade administradora de tais gastos, as quais, por sua vez, são também ressarcidas dos gastos que efetuam pelos titulares do cartão. Tal função serve para evitar a posse de numerário pelos usuários do cartão, como também lhes permite alongar o prazo de </w:t>
      </w:r>
      <w:r w:rsidRPr="00C662C0">
        <w:rPr>
          <w:rFonts w:ascii="Times New Roman" w:eastAsia="Arial" w:hAnsi="Times New Roman" w:cs="Times New Roman"/>
          <w:bCs/>
          <w:sz w:val="24"/>
          <w:szCs w:val="24"/>
        </w:rPr>
        <w:lastRenderedPageBreak/>
        <w:t>pagamento de compras, postergando o reembolso devido pelo uso do cartão de crédito. Serve, portanto, como um acesso ao crédito, possibilitando a postergação do pagamento das compras, funcionando como um meio de financiamento ao consumidor.</w:t>
      </w:r>
    </w:p>
    <w:p w14:paraId="3EB85839" w14:textId="77777777" w:rsidR="00C662C0" w:rsidRPr="00C662C0" w:rsidRDefault="00C662C0" w:rsidP="00D61DCB">
      <w:pPr>
        <w:spacing w:after="0" w:line="360" w:lineRule="auto"/>
        <w:ind w:firstLine="708"/>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A segunda finalidade é a possibilidade de saques de numerário em caixas eletrônicos, geralmente facultada pelo mesmo suporte plástico que pode ser usado como cartão de crédito.</w:t>
      </w:r>
    </w:p>
    <w:p w14:paraId="411D6803" w14:textId="77777777" w:rsidR="00C662C0" w:rsidRPr="00C662C0" w:rsidRDefault="00C662C0" w:rsidP="00D61DCB">
      <w:pPr>
        <w:spacing w:after="0" w:line="360" w:lineRule="auto"/>
        <w:ind w:firstLine="708"/>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Além dos cartões de crédito, existem também os chamados EFT-POS (</w:t>
      </w:r>
      <w:proofErr w:type="spellStart"/>
      <w:r w:rsidRPr="00C662C0">
        <w:rPr>
          <w:rFonts w:ascii="Times New Roman" w:eastAsia="Arial" w:hAnsi="Times New Roman" w:cs="Times New Roman"/>
          <w:bCs/>
          <w:sz w:val="24"/>
          <w:szCs w:val="24"/>
        </w:rPr>
        <w:t>electronic</w:t>
      </w:r>
      <w:proofErr w:type="spellEnd"/>
      <w:r w:rsidRPr="00C662C0">
        <w:rPr>
          <w:rFonts w:ascii="Times New Roman" w:eastAsia="Arial" w:hAnsi="Times New Roman" w:cs="Times New Roman"/>
          <w:bCs/>
          <w:sz w:val="24"/>
          <w:szCs w:val="24"/>
        </w:rPr>
        <w:t xml:space="preserve"> </w:t>
      </w:r>
      <w:proofErr w:type="spellStart"/>
      <w:r w:rsidRPr="00C662C0">
        <w:rPr>
          <w:rFonts w:ascii="Times New Roman" w:eastAsia="Arial" w:hAnsi="Times New Roman" w:cs="Times New Roman"/>
          <w:bCs/>
          <w:sz w:val="24"/>
          <w:szCs w:val="24"/>
        </w:rPr>
        <w:t>funds</w:t>
      </w:r>
      <w:proofErr w:type="spellEnd"/>
      <w:r w:rsidRPr="00C662C0">
        <w:rPr>
          <w:rFonts w:ascii="Times New Roman" w:eastAsia="Arial" w:hAnsi="Times New Roman" w:cs="Times New Roman"/>
          <w:bCs/>
          <w:sz w:val="24"/>
          <w:szCs w:val="24"/>
        </w:rPr>
        <w:t xml:space="preserve"> </w:t>
      </w:r>
      <w:proofErr w:type="spellStart"/>
      <w:r w:rsidRPr="00C662C0">
        <w:rPr>
          <w:rFonts w:ascii="Times New Roman" w:eastAsia="Arial" w:hAnsi="Times New Roman" w:cs="Times New Roman"/>
          <w:bCs/>
          <w:sz w:val="24"/>
          <w:szCs w:val="24"/>
        </w:rPr>
        <w:t>transfer</w:t>
      </w:r>
      <w:proofErr w:type="spellEnd"/>
      <w:r w:rsidRPr="00C662C0">
        <w:rPr>
          <w:rFonts w:ascii="Times New Roman" w:eastAsia="Arial" w:hAnsi="Times New Roman" w:cs="Times New Roman"/>
          <w:bCs/>
          <w:sz w:val="24"/>
          <w:szCs w:val="24"/>
        </w:rPr>
        <w:t xml:space="preserve"> – point </w:t>
      </w:r>
      <w:proofErr w:type="spellStart"/>
      <w:r w:rsidRPr="00C662C0">
        <w:rPr>
          <w:rFonts w:ascii="Times New Roman" w:eastAsia="Arial" w:hAnsi="Times New Roman" w:cs="Times New Roman"/>
          <w:bCs/>
          <w:sz w:val="24"/>
          <w:szCs w:val="24"/>
        </w:rPr>
        <w:t>of</w:t>
      </w:r>
      <w:proofErr w:type="spellEnd"/>
      <w:r w:rsidRPr="00C662C0">
        <w:rPr>
          <w:rFonts w:ascii="Times New Roman" w:eastAsia="Arial" w:hAnsi="Times New Roman" w:cs="Times New Roman"/>
          <w:bCs/>
          <w:sz w:val="24"/>
          <w:szCs w:val="24"/>
        </w:rPr>
        <w:t xml:space="preserve"> </w:t>
      </w:r>
      <w:proofErr w:type="spellStart"/>
      <w:r w:rsidRPr="00C662C0">
        <w:rPr>
          <w:rFonts w:ascii="Times New Roman" w:eastAsia="Arial" w:hAnsi="Times New Roman" w:cs="Times New Roman"/>
          <w:bCs/>
          <w:sz w:val="24"/>
          <w:szCs w:val="24"/>
        </w:rPr>
        <w:t>sale</w:t>
      </w:r>
      <w:proofErr w:type="spellEnd"/>
      <w:r w:rsidRPr="00C662C0">
        <w:rPr>
          <w:rFonts w:ascii="Times New Roman" w:eastAsia="Arial" w:hAnsi="Times New Roman" w:cs="Times New Roman"/>
          <w:bCs/>
          <w:sz w:val="24"/>
          <w:szCs w:val="24"/>
        </w:rPr>
        <w:t>), que são cartões que operam uma transferência imediata de fundos já existentes na conta de depósito do usuário para a conta de varejistas especificados que participem do sistema. Este instrumento não pode ser propriamente denominado de cartão de crédito, visto que serve como meio de transferência de fundos do próprio cliente. Em virtude disso, no Brasil essa modalidade é comumente denominada de “cartão de débito”.</w:t>
      </w:r>
    </w:p>
    <w:p w14:paraId="202C04BF" w14:textId="77777777" w:rsidR="00C662C0" w:rsidRPr="00C662C0" w:rsidRDefault="00C662C0" w:rsidP="00D61DCB">
      <w:pPr>
        <w:spacing w:after="0" w:line="360" w:lineRule="auto"/>
        <w:ind w:firstLine="708"/>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Os usuários dos cartões podem ser pessoas físicas, agindo por conta própria e utilizando os cartões na aquisição de bens e serviços de consumo, ou como prepostos de pessoas jurídicas, como é no caso dos “cartões empresariais ou corporativos”, cujos gastos são normalmente centrados em necessidades ligadas à atividade empresária.</w:t>
      </w:r>
    </w:p>
    <w:p w14:paraId="0729E874" w14:textId="77777777" w:rsidR="00C662C0" w:rsidRPr="00C662C0" w:rsidRDefault="00C662C0" w:rsidP="00D61DCB">
      <w:pPr>
        <w:spacing w:after="0" w:line="360" w:lineRule="auto"/>
        <w:ind w:firstLine="708"/>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A emissão e operação de cartões de crédito encontram lastro em relacionamento contratual multilateral, o qual envolve os seguintes agentes:</w:t>
      </w:r>
    </w:p>
    <w:p w14:paraId="6DC76F4C" w14:textId="77777777" w:rsidR="00C662C0" w:rsidRPr="00C662C0" w:rsidRDefault="00C662C0" w:rsidP="00D61DCB">
      <w:pPr>
        <w:numPr>
          <w:ilvl w:val="0"/>
          <w:numId w:val="23"/>
        </w:numPr>
        <w:spacing w:after="0" w:line="360" w:lineRule="auto"/>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As bandeiras (também conhecidas como “instituidores de arranjos de pagamento” ou “proprietárias do esquema”, entidades detentoras e licenciadoras de marcas para uso das credenciadoras, dos emissores e dos estabelecimentos, mediante especificação das regras gerais de organização e funcionamento do sistema de cartões;</w:t>
      </w:r>
    </w:p>
    <w:p w14:paraId="1705A98D" w14:textId="77777777" w:rsidR="00C662C0" w:rsidRPr="00C662C0" w:rsidRDefault="00C662C0" w:rsidP="00D61DCB">
      <w:pPr>
        <w:numPr>
          <w:ilvl w:val="0"/>
          <w:numId w:val="23"/>
        </w:numPr>
        <w:spacing w:after="0" w:line="360" w:lineRule="auto"/>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As credenciadoras, sociedades não financeiras responsáveis pelo credenciamento de estabelecimentos e pela captura, transmissão, processamento e liquidação financeira das operações realizadas com cartões de crédito;</w:t>
      </w:r>
    </w:p>
    <w:p w14:paraId="4F465246" w14:textId="77777777" w:rsidR="00C662C0" w:rsidRPr="00C662C0" w:rsidRDefault="00C662C0" w:rsidP="00D61DCB">
      <w:pPr>
        <w:numPr>
          <w:ilvl w:val="0"/>
          <w:numId w:val="23"/>
        </w:numPr>
        <w:spacing w:after="0" w:line="360" w:lineRule="auto"/>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Emissores, instituições financeiras ou não, autorizadas pelas bandeiras a emitir os respectivos cartões de crédito, que mantêm relacionamento contratual com os portadores ou usuários dos cartões e são responsáveis pela cobrança dos gastos feitos por estes com cartões e repasse dos valores coletados às credenciadoras, para que estas paguem os estabelecimentos (em alguns sistemas, os serviços de credenciadora e emissor são prestados pela mesma entidade);</w:t>
      </w:r>
    </w:p>
    <w:p w14:paraId="57CF2F47" w14:textId="77777777" w:rsidR="00C662C0" w:rsidRPr="00C662C0" w:rsidRDefault="00C662C0" w:rsidP="00D61DCB">
      <w:pPr>
        <w:numPr>
          <w:ilvl w:val="0"/>
          <w:numId w:val="23"/>
        </w:numPr>
        <w:spacing w:after="0" w:line="360" w:lineRule="auto"/>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lastRenderedPageBreak/>
        <w:t>Estabelecimentos, fornecedores de produtos ou serviços credenciados para aceitarem pagamentos por meio de cartões de crédito; e</w:t>
      </w:r>
    </w:p>
    <w:p w14:paraId="4255AD8E" w14:textId="77777777" w:rsidR="00C662C0" w:rsidRPr="00C662C0" w:rsidRDefault="00C662C0" w:rsidP="00D61DCB">
      <w:pPr>
        <w:numPr>
          <w:ilvl w:val="0"/>
          <w:numId w:val="23"/>
        </w:numPr>
        <w:spacing w:after="0" w:line="360" w:lineRule="auto"/>
        <w:jc w:val="both"/>
        <w:rPr>
          <w:rFonts w:ascii="Times New Roman" w:eastAsia="Arial" w:hAnsi="Times New Roman" w:cs="Times New Roman"/>
          <w:bCs/>
          <w:sz w:val="24"/>
          <w:szCs w:val="24"/>
        </w:rPr>
      </w:pPr>
      <w:r w:rsidRPr="00C662C0">
        <w:rPr>
          <w:rFonts w:ascii="Times New Roman" w:eastAsia="Arial" w:hAnsi="Times New Roman" w:cs="Times New Roman"/>
          <w:bCs/>
          <w:sz w:val="24"/>
          <w:szCs w:val="24"/>
        </w:rPr>
        <w:t>Portadores ou usuários, pessoas físicas que utilizam o cartão por conta própria ou como prepostos de pessoas jurídicas.</w:t>
      </w:r>
    </w:p>
    <w:p w14:paraId="6BEFF69A" w14:textId="77777777" w:rsidR="00C662C0" w:rsidRPr="00C662C0" w:rsidRDefault="00C662C0" w:rsidP="00D61DCB">
      <w:pPr>
        <w:spacing w:after="0" w:line="276" w:lineRule="auto"/>
        <w:rPr>
          <w:rFonts w:ascii="Times New Roman" w:eastAsia="Arial" w:hAnsi="Times New Roman" w:cs="Times New Roman"/>
          <w:b/>
          <w:sz w:val="24"/>
          <w:szCs w:val="24"/>
        </w:rPr>
      </w:pPr>
    </w:p>
    <w:p w14:paraId="6FD45FDD" w14:textId="0B8422B4" w:rsidR="00C662C0" w:rsidRPr="005E18DC" w:rsidRDefault="00C662C0" w:rsidP="005E18DC">
      <w:pPr>
        <w:pStyle w:val="Ttulo3"/>
        <w:spacing w:before="0" w:after="0"/>
        <w:rPr>
          <w:rFonts w:ascii="Times New Roman" w:hAnsi="Times New Roman" w:cs="Times New Roman"/>
          <w:b/>
          <w:bCs/>
          <w:color w:val="auto"/>
          <w:sz w:val="24"/>
          <w:szCs w:val="24"/>
        </w:rPr>
      </w:pPr>
      <w:bookmarkStart w:id="11" w:name="_Toc201336661"/>
      <w:r w:rsidRPr="005E18DC">
        <w:rPr>
          <w:rFonts w:ascii="Times New Roman" w:hAnsi="Times New Roman" w:cs="Times New Roman"/>
          <w:b/>
          <w:bCs/>
          <w:color w:val="auto"/>
          <w:sz w:val="24"/>
          <w:szCs w:val="24"/>
        </w:rPr>
        <w:t>2.2.3. Relação entre Emissor e Usuário do Cartão</w:t>
      </w:r>
      <w:bookmarkEnd w:id="11"/>
    </w:p>
    <w:p w14:paraId="4CB3574A" w14:textId="77777777" w:rsidR="00D61DCB" w:rsidRPr="00C662C0" w:rsidRDefault="00D61DCB" w:rsidP="00D61DCB">
      <w:pPr>
        <w:spacing w:after="0" w:line="276" w:lineRule="auto"/>
        <w:jc w:val="both"/>
        <w:rPr>
          <w:rFonts w:ascii="Times New Roman" w:eastAsia="Arial" w:hAnsi="Times New Roman" w:cs="Times New Roman"/>
          <w:b/>
          <w:bCs/>
          <w:sz w:val="24"/>
          <w:szCs w:val="24"/>
        </w:rPr>
      </w:pPr>
    </w:p>
    <w:p w14:paraId="416E8D1B"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O contrato entre emissor e usuário permite que este utilize o cartão para realizar pagamentos relativos a consumo de bens e serviços perante a rede de estabelecimentos credenciados dentro de dois limites principais: de valor e temporal. Quanto ao limite de valor, a cada cliente é designado montante máximo de compras permitidas que pode estar a cada momento em aberto, ou seja, ainda não pago ao emissor do cartão. Já o limite temporal trata-se da data, usualmente mensal, de vencimento dos pagamentos devidos ao emissor relativos às compras efetuadas no período anterior. Não se trata de um limite absoluto pela possibilidade de os emissores aceitarem financiar parte desse valor após a data de vencimento.</w:t>
      </w:r>
    </w:p>
    <w:p w14:paraId="49282D55"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A possibilidade de financiamento do saldo devedor do cartão de crédito levanta uma questão relevante: os emissores podem ser tanto instituições financeiras quanto entidades que não possuem essa natureza. No primeiro caso, o financiamento é concedido diretamente pela própria instituição financeira. No segundo – uma situação menos comum –, a concessão do crédito deve ser feita por uma instituição financeira terceira, em nome do usuário, enquanto a emissora do cartão atua como mandatária e, no máximo, prestam garantias às instituições financeiras mutuantes.</w:t>
      </w:r>
    </w:p>
    <w:p w14:paraId="255FFEA1" w14:textId="46D21655"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 xml:space="preserve">Dessa estrutura decorre também o fato de que os juros, de ordinário bastante cobrados de usuários de cartão pelos financiamentos, são devidos à instituição financeira, e não à própria emissora do cartão de crédito quando esta não for a instituição financeira mutuante. </w:t>
      </w:r>
      <w:r w:rsidR="00C13CFA">
        <w:rPr>
          <w:rFonts w:ascii="Times New Roman" w:eastAsia="Arial" w:hAnsi="Times New Roman" w:cs="Times New Roman"/>
          <w:sz w:val="24"/>
          <w:szCs w:val="24"/>
        </w:rPr>
        <w:t>Segundo Salomão (2020), t</w:t>
      </w:r>
      <w:r w:rsidRPr="00C662C0">
        <w:rPr>
          <w:rFonts w:ascii="Times New Roman" w:eastAsia="Arial" w:hAnsi="Times New Roman" w:cs="Times New Roman"/>
          <w:sz w:val="24"/>
          <w:szCs w:val="24"/>
        </w:rPr>
        <w:t>al informação é importante porque, quando o financiamento é realizado por uma instituição financeira, não se aplica o limite de juros de 12% ao ano previsto na Lei da Usura (Decreto 22.626/33). Isso ocorre em razão do entendimento consolidado pelo Supremo Tribunal Federal na Súmula 596, que estabelece que as disposições da Lei da Usura não se aplicam às taxas de juros e demais encargos cobrados em operações realizadas por instituições públicas ou privadas integrantes do Sistema Financeiro Nacional.</w:t>
      </w:r>
    </w:p>
    <w:p w14:paraId="6EB83DC7"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lastRenderedPageBreak/>
        <w:t>Dessa forma, no caso de financiamentos a usuários de cartão de crédito com recursos de instituições financeiras, é plenamente aceitável a cobrança de juros superiores ao limite do Código Civil.</w:t>
      </w:r>
    </w:p>
    <w:p w14:paraId="2D26EC96" w14:textId="77777777" w:rsidR="00C662C0" w:rsidRPr="00C662C0" w:rsidRDefault="00C662C0" w:rsidP="00D61DCB">
      <w:pPr>
        <w:spacing w:after="0" w:line="276" w:lineRule="auto"/>
        <w:rPr>
          <w:rFonts w:ascii="Times New Roman" w:eastAsia="Arial" w:hAnsi="Times New Roman" w:cs="Times New Roman"/>
          <w:b/>
          <w:sz w:val="24"/>
          <w:szCs w:val="24"/>
        </w:rPr>
      </w:pPr>
    </w:p>
    <w:p w14:paraId="494F028B" w14:textId="38E60174" w:rsidR="00C662C0" w:rsidRPr="005E18DC" w:rsidRDefault="00C662C0" w:rsidP="005E18DC">
      <w:pPr>
        <w:pStyle w:val="Ttulo3"/>
        <w:spacing w:before="0" w:after="0"/>
        <w:rPr>
          <w:rFonts w:ascii="Times New Roman" w:hAnsi="Times New Roman" w:cs="Times New Roman"/>
          <w:b/>
          <w:bCs/>
          <w:color w:val="auto"/>
          <w:sz w:val="24"/>
          <w:szCs w:val="24"/>
        </w:rPr>
      </w:pPr>
      <w:bookmarkStart w:id="12" w:name="_Toc201336662"/>
      <w:r w:rsidRPr="005E18DC">
        <w:rPr>
          <w:rFonts w:ascii="Times New Roman" w:hAnsi="Times New Roman" w:cs="Times New Roman"/>
          <w:b/>
          <w:bCs/>
          <w:color w:val="auto"/>
          <w:sz w:val="24"/>
          <w:szCs w:val="24"/>
        </w:rPr>
        <w:t>2.2.4. Relação entre Emissor e Credenciadora</w:t>
      </w:r>
      <w:bookmarkEnd w:id="12"/>
    </w:p>
    <w:p w14:paraId="5BD0ACEB" w14:textId="77777777" w:rsidR="00D61DCB" w:rsidRPr="00C662C0" w:rsidRDefault="00D61DCB" w:rsidP="00D61DCB">
      <w:pPr>
        <w:spacing w:after="0" w:line="276" w:lineRule="auto"/>
        <w:rPr>
          <w:rFonts w:ascii="Times New Roman" w:eastAsia="Arial" w:hAnsi="Times New Roman" w:cs="Times New Roman"/>
          <w:b/>
          <w:sz w:val="24"/>
          <w:szCs w:val="24"/>
        </w:rPr>
      </w:pPr>
    </w:p>
    <w:p w14:paraId="77217658"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Os emissores também se relacionam com as credenciadoras, contratando-as para o relacionamento com os fornecedores. Essa relação é a ponte entre o emissor e o fornecedor, com o credenciador assumindo o papel de intermediador. </w:t>
      </w:r>
    </w:p>
    <w:p w14:paraId="59C604BB"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Trata-se da obrigação do emissor de transferir recursos advindos dos usuários do cartão para a credenciadora honrar as obrigações junto aos fornecedores, bem como a obrigação da credenciadora de transferir os valores aos fornecedores. A credenciadora, por sua vez, recebe uma taxa (a chamada taxa de intercâmbio) como contraprestação de seus serviços.</w:t>
      </w:r>
    </w:p>
    <w:p w14:paraId="1CB05007"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Em algumas bandeiras, emissor e credenciadora são a mesma entidade. Nessa configuração, não há contrato entre essas partes, pois o emissor também desempenha o papel da credenciadora, pagando diretamente os fornecedores com os recursos recebidos dos usuários.</w:t>
      </w:r>
    </w:p>
    <w:p w14:paraId="32FAEB12" w14:textId="77777777" w:rsidR="00C662C0" w:rsidRPr="00C662C0" w:rsidRDefault="00C662C0" w:rsidP="00D61DCB">
      <w:pPr>
        <w:spacing w:after="0"/>
        <w:jc w:val="both"/>
        <w:rPr>
          <w:rFonts w:ascii="Times New Roman" w:eastAsia="Arial" w:hAnsi="Times New Roman" w:cs="Times New Roman"/>
          <w:sz w:val="24"/>
          <w:szCs w:val="24"/>
        </w:rPr>
      </w:pPr>
    </w:p>
    <w:p w14:paraId="5F18D2CD" w14:textId="27DF0E9A" w:rsidR="00C662C0" w:rsidRPr="005E18DC" w:rsidRDefault="00C662C0" w:rsidP="005E18DC">
      <w:pPr>
        <w:pStyle w:val="Ttulo3"/>
        <w:spacing w:before="0" w:after="0"/>
        <w:rPr>
          <w:rFonts w:ascii="Times New Roman" w:hAnsi="Times New Roman" w:cs="Times New Roman"/>
          <w:b/>
          <w:bCs/>
          <w:color w:val="auto"/>
          <w:sz w:val="24"/>
          <w:szCs w:val="24"/>
        </w:rPr>
      </w:pPr>
      <w:bookmarkStart w:id="13" w:name="_Toc201336663"/>
      <w:r w:rsidRPr="005E18DC">
        <w:rPr>
          <w:rFonts w:ascii="Times New Roman" w:hAnsi="Times New Roman" w:cs="Times New Roman"/>
          <w:b/>
          <w:bCs/>
          <w:color w:val="auto"/>
          <w:sz w:val="24"/>
          <w:szCs w:val="24"/>
        </w:rPr>
        <w:t>2.2.5. Relação entre Credenciadora e Fornecedor</w:t>
      </w:r>
      <w:bookmarkEnd w:id="13"/>
    </w:p>
    <w:p w14:paraId="1438C993" w14:textId="77777777" w:rsidR="00D61DCB" w:rsidRPr="00C662C0" w:rsidRDefault="00D61DCB" w:rsidP="00D61DCB">
      <w:pPr>
        <w:spacing w:after="0" w:line="276" w:lineRule="auto"/>
        <w:jc w:val="both"/>
        <w:rPr>
          <w:rFonts w:ascii="Times New Roman" w:eastAsia="Arial" w:hAnsi="Times New Roman" w:cs="Times New Roman"/>
          <w:b/>
          <w:bCs/>
          <w:sz w:val="24"/>
          <w:szCs w:val="24"/>
        </w:rPr>
      </w:pPr>
    </w:p>
    <w:p w14:paraId="565BE454" w14:textId="7B0EEB29"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 xml:space="preserve">É de interesse da credenciadora obter o maior número de fornecedores credenciados que seja possível, com vistas a ampla aceitação do cartão de sua bandeira. Para isso, celebra contratos independentes com os fornecedores, que se obrigam a aceitar o cartão como meio de pagamento sem qualquer acréscimo no preço, recebendo o pagamento da credenciadora após um </w:t>
      </w:r>
      <w:r w:rsidR="00C61B0C" w:rsidRPr="00C662C0">
        <w:rPr>
          <w:rFonts w:ascii="Times New Roman" w:eastAsia="Arial" w:hAnsi="Times New Roman" w:cs="Times New Roman"/>
          <w:sz w:val="24"/>
          <w:szCs w:val="24"/>
        </w:rPr>
        <w:t>período limitado</w:t>
      </w:r>
      <w:r w:rsidRPr="00C662C0">
        <w:rPr>
          <w:rFonts w:ascii="Times New Roman" w:eastAsia="Arial" w:hAnsi="Times New Roman" w:cs="Times New Roman"/>
          <w:sz w:val="24"/>
          <w:szCs w:val="24"/>
        </w:rPr>
        <w:t>. Note-se que a credenciadora não adianta nem capta recursos para pagamento aos fornecedores, mas simplesmente repassa a estes as quantias cobradas dos usuários ou captadas no mercado financeiro pelos emissores.</w:t>
      </w:r>
    </w:p>
    <w:p w14:paraId="1E534CE6"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Além da promessa de aceitação do cartão, podem os fornecedores também convencionar com a credenciadora o pagamento a esta de uma taxa ou comissão sobre as vendas efetuadas por meio do cartão, como compensação pelo incremento de vendas propiciado. </w:t>
      </w:r>
    </w:p>
    <w:p w14:paraId="7CB9D9FC"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 xml:space="preserve">No caso de ausência de repasse de recursos pela credenciadora ao fornecedor, a dívida não deve ser encarada como entre o fornecedor e o usuário. Isso se justifica pela </w:t>
      </w:r>
      <w:r w:rsidRPr="00C662C0">
        <w:rPr>
          <w:rFonts w:ascii="Times New Roman" w:eastAsia="Arial" w:hAnsi="Times New Roman" w:cs="Times New Roman"/>
          <w:sz w:val="24"/>
          <w:szCs w:val="24"/>
        </w:rPr>
        <w:lastRenderedPageBreak/>
        <w:t>relação entre a credenciadora e o fornecedor: o fato de o cartão ser aceito pelo fornecedor indica também sua aceitação como pagamento a simples garantia, pela credenciadora, de quitação futura do preço dos bens ou serviços fornecidos. O fornecedor, logo, não possui direito a recurso contra o usuário.</w:t>
      </w:r>
    </w:p>
    <w:p w14:paraId="00EC8EDD" w14:textId="4017607D"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 xml:space="preserve">Da mesma forma, a credenciadora de cartão e a instituição que a emite não possuem nenhuma responsabilidade pelo produto ou serviço adquirido por intermédio do cartão. (art. 3°, CDC). Portanto, não se pode considerar que </w:t>
      </w:r>
      <w:r w:rsidR="00C61B0C" w:rsidRPr="00C662C0">
        <w:rPr>
          <w:rFonts w:ascii="Times New Roman" w:eastAsia="Arial" w:hAnsi="Times New Roman" w:cs="Times New Roman"/>
          <w:sz w:val="24"/>
          <w:szCs w:val="24"/>
        </w:rPr>
        <w:t>a credenciadora do cartão ou a instituição que o emite possa</w:t>
      </w:r>
      <w:r w:rsidRPr="00C662C0">
        <w:rPr>
          <w:rFonts w:ascii="Times New Roman" w:eastAsia="Arial" w:hAnsi="Times New Roman" w:cs="Times New Roman"/>
          <w:sz w:val="24"/>
          <w:szCs w:val="24"/>
        </w:rPr>
        <w:t xml:space="preserve"> se enquadrar como fornecedoras do produto ou serviço comprados.</w:t>
      </w:r>
    </w:p>
    <w:p w14:paraId="0E316092"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Normalmente, o contrato entre credenciadora e fornecedor dispõe que este somente poderá vender produtos ou serviços para pagamento com cartão de crédito dentre aqueles previamente discriminados no contrato com a credenciadora, de forma que a aceitação de cartão para pagamento de produtos ou serviços de natureza diversa configura inadimplemento contratual por parte do fornecedor (art. 4°, LINDB), a não ser que esteja acordado ou disposto em contrário no contrato. Dessa forma, normalmente o contrato traz os produtos e bens discriminados em que poderão ser utilizados o cartão, e mesmo que não o fizesse, entende-se que a cobertura do cartão deve ser restringida àqueles bens e serviços cujo fornecimento faça parte da atividade empresarial do fornecedor</w:t>
      </w:r>
    </w:p>
    <w:p w14:paraId="175281EE"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A relação entre credenciadora e fornecedor pode, ainda, não ser direta, mas intermediada pelas chamadas subcredenciadoras. Estes registram os fornecedores finais e por sua vez se credenciam junto às credenciadoras como se fornecedores fossem, de forma que, ao receberem os pagamentos respectivos, fazem a distribuição entre seus fornecedores registrados. É normalmente feito em favor dos pequenos fornecedores, que não seriam de interesse das credenciadoras.</w:t>
      </w:r>
    </w:p>
    <w:p w14:paraId="534F51FA" w14:textId="77777777" w:rsidR="00C662C0" w:rsidRPr="00C662C0" w:rsidRDefault="00C662C0" w:rsidP="00D61DCB">
      <w:pPr>
        <w:spacing w:after="0"/>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 </w:t>
      </w:r>
    </w:p>
    <w:p w14:paraId="2508C318" w14:textId="6D758D70" w:rsidR="00C662C0" w:rsidRPr="005E18DC" w:rsidRDefault="00C662C0" w:rsidP="005E18DC">
      <w:pPr>
        <w:pStyle w:val="Ttulo3"/>
        <w:spacing w:before="0" w:after="0"/>
        <w:rPr>
          <w:rFonts w:ascii="Times New Roman" w:hAnsi="Times New Roman" w:cs="Times New Roman"/>
          <w:b/>
          <w:bCs/>
          <w:color w:val="auto"/>
          <w:sz w:val="24"/>
          <w:szCs w:val="24"/>
        </w:rPr>
      </w:pPr>
      <w:bookmarkStart w:id="14" w:name="_Toc201336664"/>
      <w:r w:rsidRPr="005E18DC">
        <w:rPr>
          <w:rFonts w:ascii="Times New Roman" w:hAnsi="Times New Roman" w:cs="Times New Roman"/>
          <w:b/>
          <w:bCs/>
          <w:color w:val="auto"/>
          <w:sz w:val="24"/>
          <w:szCs w:val="24"/>
        </w:rPr>
        <w:t>2.2.6. Relação entre Emissor e Instituição Financeira</w:t>
      </w:r>
      <w:bookmarkEnd w:id="14"/>
    </w:p>
    <w:p w14:paraId="22A01101" w14:textId="77777777" w:rsidR="00D61DCB" w:rsidRPr="00C662C0" w:rsidRDefault="00D61DCB" w:rsidP="00D61DCB">
      <w:pPr>
        <w:spacing w:after="0" w:line="276" w:lineRule="auto"/>
        <w:jc w:val="both"/>
        <w:rPr>
          <w:rFonts w:ascii="Times New Roman" w:eastAsia="Arial" w:hAnsi="Times New Roman" w:cs="Times New Roman"/>
          <w:b/>
          <w:bCs/>
          <w:sz w:val="24"/>
          <w:szCs w:val="24"/>
        </w:rPr>
      </w:pPr>
    </w:p>
    <w:p w14:paraId="5C3134A7"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O emissor de cartão de crédito, especialmente quando não seja instituição financeira, pode ainda manter com instituições financeiras outro tipo de relacionamento contratual:  o emissor do cartão firma um acordo com uma instituição financeira para que esta última ofereça crédito aos clientes do emissor. Basicamente, o emissor garante que seus clientes poderão solicitar crédito na instituição financeira parceira. </w:t>
      </w:r>
    </w:p>
    <w:p w14:paraId="66BDC8B3" w14:textId="2576AC35"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lastRenderedPageBreak/>
        <w:t>Esses contratos, no entanto, garantem às instituições ampla liberdade de recusa de concessão de empréstimo, conforme seus próprios critérios e análise de risco, mesmo que o contrato entre o emissor e a instituição preveja a possibilidade de crédito.</w:t>
      </w:r>
    </w:p>
    <w:p w14:paraId="19C979A9" w14:textId="77777777" w:rsidR="00C662C0" w:rsidRPr="00C662C0" w:rsidRDefault="00C662C0" w:rsidP="00D61DCB">
      <w:pPr>
        <w:spacing w:after="0"/>
        <w:jc w:val="both"/>
        <w:rPr>
          <w:rFonts w:ascii="Times New Roman" w:eastAsia="Arial" w:hAnsi="Times New Roman" w:cs="Times New Roman"/>
          <w:sz w:val="24"/>
          <w:szCs w:val="24"/>
        </w:rPr>
      </w:pPr>
    </w:p>
    <w:p w14:paraId="614CFAD2" w14:textId="0F9CAB8B" w:rsidR="00C662C0" w:rsidRPr="005E18DC" w:rsidRDefault="00C662C0" w:rsidP="005E18DC">
      <w:pPr>
        <w:pStyle w:val="Ttulo3"/>
        <w:spacing w:before="0" w:after="0"/>
        <w:rPr>
          <w:rFonts w:ascii="Times New Roman" w:hAnsi="Times New Roman" w:cs="Times New Roman"/>
          <w:b/>
          <w:bCs/>
          <w:color w:val="auto"/>
          <w:sz w:val="24"/>
          <w:szCs w:val="24"/>
        </w:rPr>
      </w:pPr>
      <w:bookmarkStart w:id="15" w:name="_Toc201336665"/>
      <w:r w:rsidRPr="005E18DC">
        <w:rPr>
          <w:rFonts w:ascii="Times New Roman" w:hAnsi="Times New Roman" w:cs="Times New Roman"/>
          <w:b/>
          <w:bCs/>
          <w:color w:val="auto"/>
          <w:sz w:val="24"/>
          <w:szCs w:val="24"/>
        </w:rPr>
        <w:t>2.2.7. Relação entre Credenciadora e Instituição Financeira</w:t>
      </w:r>
      <w:bookmarkEnd w:id="15"/>
    </w:p>
    <w:p w14:paraId="3EF37BF3" w14:textId="77777777" w:rsidR="00D61DCB" w:rsidRPr="00C662C0" w:rsidRDefault="00D61DCB" w:rsidP="00D61DCB">
      <w:pPr>
        <w:spacing w:after="0" w:line="276" w:lineRule="auto"/>
        <w:jc w:val="both"/>
        <w:rPr>
          <w:rFonts w:ascii="Times New Roman" w:eastAsia="Arial" w:hAnsi="Times New Roman" w:cs="Times New Roman"/>
          <w:b/>
          <w:bCs/>
          <w:sz w:val="24"/>
          <w:szCs w:val="24"/>
        </w:rPr>
      </w:pPr>
    </w:p>
    <w:p w14:paraId="613F2D7E" w14:textId="77777777" w:rsidR="00C662C0" w:rsidRPr="00C662C0" w:rsidRDefault="00C662C0" w:rsidP="00D61DCB">
      <w:pPr>
        <w:spacing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As credenciadoras mantêm uma relação estreita com as instituições financeiras, sendo que em muitos casos, as credenciadoras têm bancos como acionistas. Isso se deve à dependência das credenciadoras em relação às instituições financeiras para a concessão de financiamento.</w:t>
      </w:r>
    </w:p>
    <w:p w14:paraId="4FC1277E" w14:textId="77777777" w:rsidR="00C662C0" w:rsidRPr="00C662C0" w:rsidRDefault="00C662C0" w:rsidP="00D61DCB">
      <w:pPr>
        <w:spacing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Por meio dos recursos obtidos através dos financiamentos bancários, as credenciadoras conseguem antecipar valores aos estabelecimentos credenciados, como lojas ou prestadores de serviços. Esse processo de antecipação permite que os estabelecimentos recebam os pagamentos de forma antecipada, contra desconto, sem a necessidade de aguardar o prazo comum de pagamento. Esse modelo oferece uma vantagem importante: a liquidez imediata, o que facilita a gestão financeira dos estabelecimentos.</w:t>
      </w:r>
    </w:p>
    <w:p w14:paraId="4014FC1E" w14:textId="77777777" w:rsidR="00C662C0" w:rsidRPr="00C662C0"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No entanto, é importante observar que a antecipação de recursos, embora proporcione rapidez no acesso a capital, implica um custo adicional devido ao desconto aplicado. Esse custo, por sua vez, pode impactar a rentabilidade das transações realizadas, apesar da vantagem de receber o pagamento de forma mais ágil. Em alguns casos, esse custo pode ser repassado aos consumidores, ou então influenciar os preços praticados pelos estabelecimentos, afetando, assim, a competitividade no mercado.</w:t>
      </w:r>
    </w:p>
    <w:p w14:paraId="0018E198" w14:textId="77777777" w:rsidR="00C662C0" w:rsidRPr="00C662C0" w:rsidRDefault="00C662C0" w:rsidP="00D61DCB">
      <w:pPr>
        <w:spacing w:after="0"/>
        <w:jc w:val="both"/>
        <w:rPr>
          <w:rFonts w:ascii="Times New Roman" w:eastAsia="Arial" w:hAnsi="Times New Roman" w:cs="Times New Roman"/>
          <w:sz w:val="24"/>
          <w:szCs w:val="24"/>
        </w:rPr>
      </w:pPr>
    </w:p>
    <w:p w14:paraId="55933DC3" w14:textId="5F6F3175" w:rsidR="00C662C0" w:rsidRPr="005E18DC" w:rsidRDefault="00C662C0" w:rsidP="005E18DC">
      <w:pPr>
        <w:pStyle w:val="Ttulo3"/>
        <w:spacing w:before="0" w:after="0"/>
        <w:rPr>
          <w:rFonts w:ascii="Times New Roman" w:hAnsi="Times New Roman" w:cs="Times New Roman"/>
          <w:b/>
          <w:bCs/>
          <w:color w:val="auto"/>
          <w:sz w:val="24"/>
          <w:szCs w:val="24"/>
        </w:rPr>
      </w:pPr>
      <w:bookmarkStart w:id="16" w:name="_Toc201336666"/>
      <w:r w:rsidRPr="005E18DC">
        <w:rPr>
          <w:rFonts w:ascii="Times New Roman" w:hAnsi="Times New Roman" w:cs="Times New Roman"/>
          <w:b/>
          <w:bCs/>
          <w:color w:val="auto"/>
          <w:sz w:val="24"/>
          <w:szCs w:val="24"/>
        </w:rPr>
        <w:t>2.2.8. Relação do Emissor e da Credenciador com a Bandeira</w:t>
      </w:r>
      <w:bookmarkEnd w:id="16"/>
    </w:p>
    <w:p w14:paraId="596752D1" w14:textId="77777777" w:rsidR="00D61DCB" w:rsidRPr="00C662C0" w:rsidRDefault="00D61DCB" w:rsidP="00D61DCB">
      <w:pPr>
        <w:spacing w:after="0" w:line="360" w:lineRule="auto"/>
        <w:jc w:val="both"/>
        <w:rPr>
          <w:rFonts w:ascii="Times New Roman" w:eastAsia="Arial" w:hAnsi="Times New Roman" w:cs="Times New Roman"/>
          <w:b/>
          <w:bCs/>
          <w:sz w:val="24"/>
          <w:szCs w:val="24"/>
        </w:rPr>
      </w:pPr>
    </w:p>
    <w:p w14:paraId="0CB54EDE" w14:textId="77777777" w:rsidR="00C662C0" w:rsidRPr="00C662C0" w:rsidRDefault="00C662C0" w:rsidP="00D61DCB">
      <w:pPr>
        <w:spacing w:line="360" w:lineRule="auto"/>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ab/>
        <w:t>Ressalte-se que emissores de cartões, que interagem diretamente com os usuários dos cartões, e credenciadoras, as quais conectam o comprador e o vendedor, habilitando o lojista a receber pagamentos no crédito ou débito, mantêm ainda filiação contratual a uma determinada bandeira, ou seja, a uma marca ligada a um sistema de processamento e cadastramento de fornecedores unificado, que permite que os fornecedores ligados a várias credenciadoras diferentes, operadoras da mesma bandeira, se somem em uma só rede, interligando o sistema de arranjos bancários.</w:t>
      </w:r>
    </w:p>
    <w:p w14:paraId="229F406A" w14:textId="77777777" w:rsidR="00C662C0" w:rsidRPr="00C662C0" w:rsidRDefault="00C662C0" w:rsidP="00D61DCB">
      <w:pPr>
        <w:spacing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lastRenderedPageBreak/>
        <w:t>Nesse sentido, ao realizar uma compra com o cartão de crédito, a credenciadora, responsável pela maquininha, informa à bandeira sobre a transação. Esta, por sua vez, identifica o emissor e pede autorização para aprovação do pagamento. Na hipótese em que a compra é aprovada, a bandeira informa a credenciadora para a autorização da compra. </w:t>
      </w:r>
    </w:p>
    <w:p w14:paraId="5276EAF6" w14:textId="77777777" w:rsidR="00C662C0" w:rsidRPr="00C662C0" w:rsidRDefault="00C662C0" w:rsidP="00D61DCB">
      <w:pPr>
        <w:spacing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Não obstante, as bandeiras também são responsáveis por regular regras gerais das operações com cartões, de modo a padronizar o sistema em todo o mundo, tais como a definição da quantidade de parcelas, a aceitação nacional e internacional do cartão, e as taxas de operação dos estabelecimentos, fomentando a utilização dessa forma de pagamento.</w:t>
      </w:r>
    </w:p>
    <w:p w14:paraId="0E64E7B7" w14:textId="3EC136B7" w:rsidR="006123F9" w:rsidRDefault="00C662C0" w:rsidP="00D61DCB">
      <w:pPr>
        <w:spacing w:after="0" w:line="360" w:lineRule="auto"/>
        <w:ind w:firstLine="708"/>
        <w:jc w:val="both"/>
        <w:rPr>
          <w:rFonts w:ascii="Times New Roman" w:eastAsia="Arial" w:hAnsi="Times New Roman" w:cs="Times New Roman"/>
          <w:sz w:val="24"/>
          <w:szCs w:val="24"/>
        </w:rPr>
      </w:pPr>
      <w:r w:rsidRPr="00C662C0">
        <w:rPr>
          <w:rFonts w:ascii="Times New Roman" w:eastAsia="Arial" w:hAnsi="Times New Roman" w:cs="Times New Roman"/>
          <w:sz w:val="24"/>
          <w:szCs w:val="24"/>
        </w:rPr>
        <w:t>Em suma, as bandeiras são incumbidas de conectar a entidade credenciadora e o emissor do cartão, criando uma rede de comunicação entre os diferentes agentes do mercado e determinando regras de utilização dos cartões. </w:t>
      </w:r>
    </w:p>
    <w:p w14:paraId="26EC7842" w14:textId="77777777" w:rsidR="00D61DCB" w:rsidRPr="00D61DCB" w:rsidRDefault="00D61DCB" w:rsidP="00D61DCB">
      <w:pPr>
        <w:spacing w:after="0" w:line="360" w:lineRule="auto"/>
        <w:ind w:firstLine="708"/>
        <w:jc w:val="both"/>
        <w:rPr>
          <w:rFonts w:ascii="Times New Roman" w:eastAsia="Arial" w:hAnsi="Times New Roman" w:cs="Times New Roman"/>
          <w:sz w:val="24"/>
          <w:szCs w:val="24"/>
        </w:rPr>
      </w:pPr>
    </w:p>
    <w:p w14:paraId="46A98028" w14:textId="16923549" w:rsidR="008A7972" w:rsidRDefault="008A7972" w:rsidP="00B42DC9">
      <w:pPr>
        <w:pStyle w:val="Ttulo1"/>
        <w:spacing w:before="0" w:after="0"/>
        <w:rPr>
          <w:rFonts w:ascii="Times New Roman" w:hAnsi="Times New Roman" w:cs="Times New Roman"/>
          <w:b/>
          <w:bCs/>
          <w:color w:val="auto"/>
          <w:sz w:val="24"/>
          <w:szCs w:val="24"/>
        </w:rPr>
      </w:pPr>
      <w:bookmarkStart w:id="17" w:name="_Toc201336667"/>
      <w:r w:rsidRPr="00B42DC9">
        <w:rPr>
          <w:rFonts w:ascii="Times New Roman" w:hAnsi="Times New Roman" w:cs="Times New Roman"/>
          <w:b/>
          <w:bCs/>
          <w:color w:val="auto"/>
          <w:sz w:val="24"/>
          <w:szCs w:val="24"/>
        </w:rPr>
        <w:t>3. INTERCONEXÕES ENTRE SFN E SPB</w:t>
      </w:r>
      <w:bookmarkEnd w:id="17"/>
    </w:p>
    <w:p w14:paraId="20A5E014" w14:textId="77777777" w:rsidR="00D61DCB" w:rsidRPr="00D61DCB" w:rsidRDefault="00D61DCB" w:rsidP="00D61DCB">
      <w:pPr>
        <w:spacing w:after="0" w:line="276" w:lineRule="auto"/>
      </w:pPr>
    </w:p>
    <w:p w14:paraId="24072F98" w14:textId="7CD459D4" w:rsidR="002937D7" w:rsidRPr="002937D7" w:rsidRDefault="002937D7" w:rsidP="00D61DCB">
      <w:pPr>
        <w:spacing w:after="0" w:line="360" w:lineRule="auto"/>
        <w:ind w:firstLine="708"/>
        <w:jc w:val="both"/>
        <w:rPr>
          <w:rFonts w:ascii="Times New Roman" w:eastAsia="Arial" w:hAnsi="Times New Roman" w:cs="Times New Roman"/>
          <w:bCs/>
          <w:sz w:val="24"/>
          <w:szCs w:val="24"/>
        </w:rPr>
      </w:pPr>
      <w:r w:rsidRPr="002937D7">
        <w:rPr>
          <w:rFonts w:ascii="Times New Roman" w:eastAsia="Arial" w:hAnsi="Times New Roman" w:cs="Times New Roman"/>
          <w:bCs/>
          <w:sz w:val="24"/>
          <w:szCs w:val="24"/>
        </w:rPr>
        <w:t xml:space="preserve">Conforme </w:t>
      </w:r>
      <w:r w:rsidR="001400C5">
        <w:rPr>
          <w:rFonts w:ascii="Times New Roman" w:eastAsia="Arial" w:hAnsi="Times New Roman" w:cs="Times New Roman"/>
          <w:bCs/>
          <w:sz w:val="24"/>
          <w:szCs w:val="24"/>
        </w:rPr>
        <w:t>conceituado anteriormente,</w:t>
      </w:r>
      <w:r w:rsidRPr="002937D7">
        <w:rPr>
          <w:rFonts w:ascii="Times New Roman" w:eastAsia="Arial" w:hAnsi="Times New Roman" w:cs="Times New Roman"/>
          <w:bCs/>
          <w:sz w:val="24"/>
          <w:szCs w:val="24"/>
        </w:rPr>
        <w:t xml:space="preserve"> só é considerada privativa de instituição financeira, e excluída do alcance de pessoas físicas e de pessoas jurídicas não autorizadas a funcionar pelo Banco Central do Brasil, a captação seguida de repasse pela forma de mútuo de recursos, desde que realizada de forma habitual e com finalidade de lucro.</w:t>
      </w:r>
    </w:p>
    <w:p w14:paraId="42B9B110" w14:textId="77777777" w:rsidR="002937D7" w:rsidRPr="002937D7" w:rsidRDefault="002937D7" w:rsidP="00D61DCB">
      <w:pPr>
        <w:spacing w:after="0" w:line="360" w:lineRule="auto"/>
        <w:ind w:firstLine="708"/>
        <w:jc w:val="both"/>
        <w:rPr>
          <w:rFonts w:ascii="Times New Roman" w:eastAsia="Arial" w:hAnsi="Times New Roman" w:cs="Times New Roman"/>
          <w:bCs/>
          <w:sz w:val="24"/>
          <w:szCs w:val="24"/>
        </w:rPr>
      </w:pPr>
      <w:r w:rsidRPr="002937D7">
        <w:rPr>
          <w:rFonts w:ascii="Times New Roman" w:eastAsia="Arial" w:hAnsi="Times New Roman" w:cs="Times New Roman"/>
          <w:bCs/>
          <w:sz w:val="24"/>
          <w:szCs w:val="24"/>
        </w:rPr>
        <w:t>Os emissores de cartão de crédito, como vimos acima, podem ser instituições financeiras ou não. No primeiro caso, financiam eles próprios o saldo devedor dos portadores que não efetuam o pagamento total da fatura no vencimento. No segundo caso, não captam recursos em seu próprio nome, pois os empréstimos que tomam para financiar os usuários dos cartões são contratados diretamente em nome destes. Dito isso, também não realizam empréstimos de quaisquer recursos a terceiros.</w:t>
      </w:r>
    </w:p>
    <w:p w14:paraId="68CA7A4B" w14:textId="77777777" w:rsidR="002937D7" w:rsidRPr="002937D7" w:rsidRDefault="002937D7" w:rsidP="00D61DCB">
      <w:pPr>
        <w:spacing w:after="0" w:line="360" w:lineRule="auto"/>
        <w:ind w:firstLine="708"/>
        <w:jc w:val="both"/>
        <w:rPr>
          <w:rFonts w:ascii="Times New Roman" w:eastAsia="Arial" w:hAnsi="Times New Roman" w:cs="Times New Roman"/>
          <w:bCs/>
          <w:sz w:val="24"/>
          <w:szCs w:val="24"/>
        </w:rPr>
      </w:pPr>
      <w:r w:rsidRPr="002937D7">
        <w:rPr>
          <w:rFonts w:ascii="Times New Roman" w:eastAsia="Arial" w:hAnsi="Times New Roman" w:cs="Times New Roman"/>
          <w:bCs/>
          <w:sz w:val="24"/>
          <w:szCs w:val="24"/>
        </w:rPr>
        <w:t xml:space="preserve">As saídas de numerário dos emissores de cartão de crédito se destinam unicamente a pagar fornecedores, e não a realizar empréstimos de qualquer espécie. Em vista disso, impõe-se a conclusão de que os emissores de cartões de crédito, enquanto tais, não desempenham atividade privativa de instituição financeira, e não se sujeitam à autorização do Banco Central do Brasil para funcionar. Raciocínio em tudo semelhante aplica-se às credenciadoras. Recebem dos emissores provisões para pagamento dos gastos </w:t>
      </w:r>
      <w:r w:rsidRPr="002937D7">
        <w:rPr>
          <w:rFonts w:ascii="Times New Roman" w:eastAsia="Arial" w:hAnsi="Times New Roman" w:cs="Times New Roman"/>
          <w:bCs/>
          <w:sz w:val="24"/>
          <w:szCs w:val="24"/>
        </w:rPr>
        <w:lastRenderedPageBreak/>
        <w:t>dos usuários e efetuam os pagamentos correspondentes aos fornecedores. Os recursos recebidos são em caráter definitivo, assim como os repasses aos fornecedores.</w:t>
      </w:r>
    </w:p>
    <w:p w14:paraId="3AC27406" w14:textId="47A61CFC" w:rsidR="002937D7" w:rsidRPr="002937D7" w:rsidRDefault="002937D7" w:rsidP="00D61DCB">
      <w:pPr>
        <w:spacing w:after="0" w:line="360" w:lineRule="auto"/>
        <w:ind w:firstLine="708"/>
        <w:jc w:val="both"/>
        <w:rPr>
          <w:rFonts w:ascii="Times New Roman" w:eastAsia="Arial" w:hAnsi="Times New Roman" w:cs="Times New Roman"/>
          <w:bCs/>
          <w:sz w:val="24"/>
          <w:szCs w:val="24"/>
        </w:rPr>
      </w:pPr>
      <w:r w:rsidRPr="002937D7">
        <w:rPr>
          <w:rFonts w:ascii="Times New Roman" w:eastAsia="Arial" w:hAnsi="Times New Roman" w:cs="Times New Roman"/>
          <w:bCs/>
          <w:sz w:val="24"/>
          <w:szCs w:val="24"/>
        </w:rPr>
        <w:t xml:space="preserve">Da mesma forma, faz sentido a escolha legislativa em não submeter os meios de pagamento ao mesmo regime das instituições financeiras. As instituições financeiras propriamente ditas têm a característica de intermediarem a aplicação de moeda, </w:t>
      </w:r>
      <w:r w:rsidR="0051230A" w:rsidRPr="002937D7">
        <w:rPr>
          <w:rFonts w:ascii="Times New Roman" w:eastAsia="Arial" w:hAnsi="Times New Roman" w:cs="Times New Roman"/>
          <w:bCs/>
          <w:sz w:val="24"/>
          <w:szCs w:val="24"/>
        </w:rPr>
        <w:t>fazendo-o, entretanto,</w:t>
      </w:r>
      <w:r w:rsidRPr="002937D7">
        <w:rPr>
          <w:rFonts w:ascii="Times New Roman" w:eastAsia="Arial" w:hAnsi="Times New Roman" w:cs="Times New Roman"/>
          <w:bCs/>
          <w:sz w:val="24"/>
          <w:szCs w:val="24"/>
        </w:rPr>
        <w:t xml:space="preserve"> com grau elevado de discricionariedade. De fato, podem escolher emprestar ou aplicar em títulos públicos seus recursos, e se os emprestam, determinarem a quem. Parte da regulação a elas aplicável serve para reduzir o escopo dessa discricionariedade.</w:t>
      </w:r>
    </w:p>
    <w:p w14:paraId="50E9EFC8" w14:textId="0FF7269C" w:rsidR="002937D7" w:rsidRPr="002937D7" w:rsidRDefault="002937D7" w:rsidP="00D61DCB">
      <w:pPr>
        <w:spacing w:after="0" w:line="360" w:lineRule="auto"/>
        <w:ind w:firstLine="708"/>
        <w:jc w:val="both"/>
        <w:rPr>
          <w:rFonts w:ascii="Times New Roman" w:eastAsia="Arial" w:hAnsi="Times New Roman" w:cs="Times New Roman"/>
          <w:bCs/>
          <w:sz w:val="24"/>
          <w:szCs w:val="24"/>
        </w:rPr>
      </w:pPr>
      <w:r w:rsidRPr="002937D7">
        <w:rPr>
          <w:rFonts w:ascii="Times New Roman" w:eastAsia="Arial" w:hAnsi="Times New Roman" w:cs="Times New Roman"/>
          <w:bCs/>
          <w:sz w:val="24"/>
          <w:szCs w:val="24"/>
        </w:rPr>
        <w:t xml:space="preserve">Já as entidades do sistema de pagamentos recebem recursos para finalidades específicas: pagar débitos pré-existentes de cartão de crédito no caso de emissores e credenciadores, fazer transferências ou compras determinadas previamente pelos titulares de contas no caso dos emissores de moeda eletrônica. Isso justifica a regulação dos meios de pagamento voltada simplesmente a assegurar a poupança pública pelo isolamento e destinação obrigatória das contas de clientes, assegurar regime de liquidação ordenada ou evitar práticas ofensivas como a violação de sigilo e a lavagem de dinheiro. Dessa forma, </w:t>
      </w:r>
      <w:r w:rsidR="00B72BC8" w:rsidRPr="002937D7">
        <w:rPr>
          <w:rFonts w:ascii="Times New Roman" w:eastAsia="Arial" w:hAnsi="Times New Roman" w:cs="Times New Roman"/>
          <w:bCs/>
          <w:sz w:val="24"/>
          <w:szCs w:val="24"/>
        </w:rPr>
        <w:t xml:space="preserve">as </w:t>
      </w:r>
      <w:proofErr w:type="spellStart"/>
      <w:r w:rsidR="00B72BC8" w:rsidRPr="002937D7">
        <w:rPr>
          <w:rFonts w:ascii="Times New Roman" w:eastAsia="Arial" w:hAnsi="Times New Roman" w:cs="Times New Roman"/>
          <w:bCs/>
          <w:sz w:val="24"/>
          <w:szCs w:val="24"/>
        </w:rPr>
        <w:t>IPs</w:t>
      </w:r>
      <w:proofErr w:type="spellEnd"/>
      <w:r w:rsidR="00B72BC8" w:rsidRPr="002937D7">
        <w:rPr>
          <w:rFonts w:ascii="Times New Roman" w:eastAsia="Arial" w:hAnsi="Times New Roman" w:cs="Times New Roman"/>
          <w:bCs/>
          <w:sz w:val="24"/>
          <w:szCs w:val="24"/>
        </w:rPr>
        <w:t xml:space="preserve"> têm</w:t>
      </w:r>
      <w:r w:rsidRPr="002937D7">
        <w:rPr>
          <w:rFonts w:ascii="Times New Roman" w:eastAsia="Arial" w:hAnsi="Times New Roman" w:cs="Times New Roman"/>
          <w:bCs/>
          <w:sz w:val="24"/>
          <w:szCs w:val="24"/>
        </w:rPr>
        <w:t xml:space="preserve"> como foco principal a experiência do consumidor, visando direcionar a tecnologia para a redução da burocracia e para a facilidade de uso.</w:t>
      </w:r>
    </w:p>
    <w:p w14:paraId="022A8400" w14:textId="2E06C90B" w:rsidR="008A7972" w:rsidRPr="00D61DCB" w:rsidRDefault="002937D7" w:rsidP="00D61DCB">
      <w:pPr>
        <w:spacing w:after="0" w:line="360" w:lineRule="auto"/>
        <w:ind w:firstLine="708"/>
        <w:jc w:val="both"/>
        <w:rPr>
          <w:rFonts w:ascii="Times New Roman" w:eastAsia="Arial" w:hAnsi="Times New Roman" w:cs="Times New Roman"/>
          <w:bCs/>
          <w:sz w:val="24"/>
          <w:szCs w:val="24"/>
        </w:rPr>
      </w:pPr>
      <w:r w:rsidRPr="002937D7">
        <w:rPr>
          <w:rFonts w:ascii="Times New Roman" w:eastAsia="Arial" w:hAnsi="Times New Roman" w:cs="Times New Roman"/>
          <w:bCs/>
          <w:sz w:val="24"/>
          <w:szCs w:val="24"/>
        </w:rPr>
        <w:t xml:space="preserve">Enquanto isso, as Instituições Financeiras (representadas pelos bancos) são especializadas na intermediação do dinheiro entre os poupadores e os tomadores (aqueles que precisam de empréstimos), além de guardar esse dinheiro. As </w:t>
      </w:r>
      <w:proofErr w:type="spellStart"/>
      <w:r w:rsidRPr="002937D7">
        <w:rPr>
          <w:rFonts w:ascii="Times New Roman" w:eastAsia="Arial" w:hAnsi="Times New Roman" w:cs="Times New Roman"/>
          <w:bCs/>
          <w:sz w:val="24"/>
          <w:szCs w:val="24"/>
        </w:rPr>
        <w:t>IFs</w:t>
      </w:r>
      <w:proofErr w:type="spellEnd"/>
      <w:r w:rsidRPr="002937D7">
        <w:rPr>
          <w:rFonts w:ascii="Times New Roman" w:eastAsia="Arial" w:hAnsi="Times New Roman" w:cs="Times New Roman"/>
          <w:bCs/>
          <w:sz w:val="24"/>
          <w:szCs w:val="24"/>
        </w:rPr>
        <w:t xml:space="preserve"> providenciam diversos serviços financeiros para seus clientes, como saques, empréstimos, investimentos e mais. Dessa forma, enquanto </w:t>
      </w:r>
      <w:r w:rsidR="00B72BC8" w:rsidRPr="002937D7">
        <w:rPr>
          <w:rFonts w:ascii="Times New Roman" w:eastAsia="Arial" w:hAnsi="Times New Roman" w:cs="Times New Roman"/>
          <w:bCs/>
          <w:sz w:val="24"/>
          <w:szCs w:val="24"/>
        </w:rPr>
        <w:t xml:space="preserve">as </w:t>
      </w:r>
      <w:proofErr w:type="spellStart"/>
      <w:r w:rsidR="00B72BC8" w:rsidRPr="002937D7">
        <w:rPr>
          <w:rFonts w:ascii="Times New Roman" w:eastAsia="Arial" w:hAnsi="Times New Roman" w:cs="Times New Roman"/>
          <w:bCs/>
          <w:sz w:val="24"/>
          <w:szCs w:val="24"/>
        </w:rPr>
        <w:t>IPs</w:t>
      </w:r>
      <w:proofErr w:type="spellEnd"/>
      <w:r w:rsidR="00B72BC8" w:rsidRPr="002937D7">
        <w:rPr>
          <w:rFonts w:ascii="Times New Roman" w:eastAsia="Arial" w:hAnsi="Times New Roman" w:cs="Times New Roman"/>
          <w:bCs/>
          <w:sz w:val="24"/>
          <w:szCs w:val="24"/>
        </w:rPr>
        <w:t xml:space="preserve"> têm</w:t>
      </w:r>
      <w:r w:rsidRPr="002937D7">
        <w:rPr>
          <w:rFonts w:ascii="Times New Roman" w:eastAsia="Arial" w:hAnsi="Times New Roman" w:cs="Times New Roman"/>
          <w:bCs/>
          <w:sz w:val="24"/>
          <w:szCs w:val="24"/>
        </w:rPr>
        <w:t xml:space="preserve"> uma competência mais restrita, direcionada para pagamentos digitais, as </w:t>
      </w:r>
      <w:proofErr w:type="spellStart"/>
      <w:r w:rsidRPr="002937D7">
        <w:rPr>
          <w:rFonts w:ascii="Times New Roman" w:eastAsia="Arial" w:hAnsi="Times New Roman" w:cs="Times New Roman"/>
          <w:bCs/>
          <w:sz w:val="24"/>
          <w:szCs w:val="24"/>
        </w:rPr>
        <w:t>IFs</w:t>
      </w:r>
      <w:proofErr w:type="spellEnd"/>
      <w:r w:rsidRPr="002937D7">
        <w:rPr>
          <w:rFonts w:ascii="Times New Roman" w:eastAsia="Arial" w:hAnsi="Times New Roman" w:cs="Times New Roman"/>
          <w:bCs/>
          <w:sz w:val="24"/>
          <w:szCs w:val="24"/>
        </w:rPr>
        <w:t xml:space="preserve"> envolvem um sistema mais complexo, pois, por força de lei, podem ofertar mais recursos como empréstimos e financiamentos.</w:t>
      </w:r>
    </w:p>
    <w:p w14:paraId="644083B3" w14:textId="77777777" w:rsidR="008A7972" w:rsidRDefault="008A7972" w:rsidP="00D61DCB">
      <w:pPr>
        <w:spacing w:after="0"/>
        <w:rPr>
          <w:rFonts w:ascii="Times New Roman" w:eastAsia="Arial" w:hAnsi="Times New Roman" w:cs="Times New Roman"/>
          <w:b/>
          <w:sz w:val="24"/>
          <w:szCs w:val="24"/>
        </w:rPr>
      </w:pPr>
    </w:p>
    <w:p w14:paraId="73716B4E" w14:textId="7A677BEC" w:rsidR="008A7972" w:rsidRPr="005E18DC" w:rsidRDefault="000344E0" w:rsidP="005E18DC">
      <w:pPr>
        <w:pStyle w:val="Ttulo2"/>
        <w:spacing w:before="0" w:after="0"/>
        <w:rPr>
          <w:rFonts w:ascii="Times New Roman" w:eastAsia="Arial" w:hAnsi="Times New Roman" w:cs="Times New Roman"/>
          <w:b/>
          <w:bCs/>
          <w:color w:val="auto"/>
          <w:sz w:val="24"/>
          <w:szCs w:val="24"/>
        </w:rPr>
      </w:pPr>
      <w:bookmarkStart w:id="18" w:name="_Toc201336668"/>
      <w:r w:rsidRPr="005E18DC">
        <w:rPr>
          <w:rFonts w:ascii="Times New Roman" w:eastAsia="Arial" w:hAnsi="Times New Roman" w:cs="Times New Roman"/>
          <w:b/>
          <w:bCs/>
          <w:color w:val="auto"/>
          <w:sz w:val="24"/>
          <w:szCs w:val="24"/>
        </w:rPr>
        <w:t>3.1. Contas de Pagamento e Contas Bancárias</w:t>
      </w:r>
      <w:bookmarkEnd w:id="18"/>
    </w:p>
    <w:p w14:paraId="209333AF" w14:textId="77777777" w:rsidR="00D61DCB" w:rsidRDefault="00D61DCB" w:rsidP="00D61DCB">
      <w:pPr>
        <w:spacing w:after="0" w:line="276" w:lineRule="auto"/>
        <w:ind w:firstLine="708"/>
        <w:rPr>
          <w:rFonts w:ascii="Times New Roman" w:eastAsia="Arial" w:hAnsi="Times New Roman" w:cs="Times New Roman"/>
          <w:bCs/>
          <w:sz w:val="24"/>
          <w:szCs w:val="24"/>
        </w:rPr>
      </w:pPr>
    </w:p>
    <w:p w14:paraId="34FB2ED2" w14:textId="1F5F2821" w:rsidR="00BD29A7" w:rsidRPr="00BD29A7" w:rsidRDefault="00BD29A7" w:rsidP="00D61DCB">
      <w:pPr>
        <w:spacing w:after="0" w:line="360" w:lineRule="auto"/>
        <w:ind w:firstLine="708"/>
        <w:jc w:val="both"/>
        <w:rPr>
          <w:rFonts w:ascii="Times New Roman" w:eastAsia="Arial" w:hAnsi="Times New Roman" w:cs="Times New Roman"/>
          <w:bCs/>
          <w:sz w:val="24"/>
          <w:szCs w:val="24"/>
        </w:rPr>
      </w:pPr>
      <w:r w:rsidRPr="00BD29A7">
        <w:rPr>
          <w:rFonts w:ascii="Times New Roman" w:eastAsia="Arial" w:hAnsi="Times New Roman" w:cs="Times New Roman"/>
          <w:bCs/>
          <w:sz w:val="24"/>
          <w:szCs w:val="24"/>
        </w:rPr>
        <w:t>Uma especificidade do regime aplicável a meios de pagamento é a obrigatoriedade de que emissores de moeda eletrônica e cartões de crédito, mas não credenciadoras, abram a chamada “conta de pagamentos” em nome de seus clientes (vide artigo 1º, §1º da Circular BCB nº 3.680/2013). Essas contas são destinadas ao armazenamento de valores em moeda eletrônica que podem ser utilizados para a aquisição de bens, serviços ou transferências para terceiros.</w:t>
      </w:r>
    </w:p>
    <w:p w14:paraId="234006DB" w14:textId="77777777" w:rsidR="00BD29A7" w:rsidRPr="000E29F4" w:rsidRDefault="00BD29A7" w:rsidP="00D61DCB">
      <w:pPr>
        <w:spacing w:after="0" w:line="276" w:lineRule="auto"/>
        <w:ind w:left="1416"/>
        <w:jc w:val="both"/>
        <w:rPr>
          <w:rFonts w:ascii="Times New Roman" w:eastAsia="Arial" w:hAnsi="Times New Roman" w:cs="Times New Roman"/>
          <w:bCs/>
          <w:sz w:val="20"/>
          <w:szCs w:val="20"/>
        </w:rPr>
      </w:pPr>
      <w:r w:rsidRPr="000E29F4">
        <w:rPr>
          <w:rFonts w:ascii="Times New Roman" w:eastAsia="Arial" w:hAnsi="Times New Roman" w:cs="Times New Roman"/>
          <w:bCs/>
          <w:sz w:val="20"/>
          <w:szCs w:val="20"/>
        </w:rPr>
        <w:t>Art. 1º Esta Circular dispõe sobre a conta de pagamento utilizada pelas instituições de pagamento para registro de transações de pagamento de usuários finais. </w:t>
      </w:r>
    </w:p>
    <w:p w14:paraId="6A53CDDB" w14:textId="77777777" w:rsidR="00BD29A7" w:rsidRPr="000E29F4" w:rsidRDefault="00BD29A7" w:rsidP="00D61DCB">
      <w:pPr>
        <w:spacing w:after="0" w:line="276" w:lineRule="auto"/>
        <w:ind w:left="1416"/>
        <w:jc w:val="both"/>
        <w:rPr>
          <w:rFonts w:ascii="Times New Roman" w:eastAsia="Arial" w:hAnsi="Times New Roman" w:cs="Times New Roman"/>
          <w:bCs/>
          <w:sz w:val="20"/>
          <w:szCs w:val="20"/>
        </w:rPr>
      </w:pPr>
      <w:r w:rsidRPr="000E29F4">
        <w:rPr>
          <w:rFonts w:ascii="Times New Roman" w:eastAsia="Arial" w:hAnsi="Times New Roman" w:cs="Times New Roman"/>
          <w:bCs/>
          <w:sz w:val="20"/>
          <w:szCs w:val="20"/>
        </w:rPr>
        <w:lastRenderedPageBreak/>
        <w:t>§ 1º A conta de pagamento mencionada no caput é de uso obrigatório pelas instituições de pagamento emissoras de moeda eletrônica e de instrumento de pagamento pós-pago.</w:t>
      </w:r>
    </w:p>
    <w:p w14:paraId="2C0D43A5" w14:textId="77777777" w:rsidR="00BD29A7" w:rsidRPr="00BD29A7" w:rsidRDefault="00BD29A7" w:rsidP="00D61DCB">
      <w:pPr>
        <w:spacing w:after="0" w:line="360" w:lineRule="auto"/>
        <w:jc w:val="both"/>
        <w:rPr>
          <w:rFonts w:ascii="Times New Roman" w:eastAsia="Arial" w:hAnsi="Times New Roman" w:cs="Times New Roman"/>
          <w:bCs/>
          <w:sz w:val="24"/>
          <w:szCs w:val="24"/>
        </w:rPr>
      </w:pPr>
    </w:p>
    <w:p w14:paraId="13E8D8CD" w14:textId="6DD066A6" w:rsidR="00BD29A7" w:rsidRPr="00BD29A7" w:rsidRDefault="00BD29A7" w:rsidP="00D61DCB">
      <w:pPr>
        <w:spacing w:after="0" w:line="360" w:lineRule="auto"/>
        <w:jc w:val="both"/>
        <w:rPr>
          <w:rFonts w:ascii="Times New Roman" w:eastAsia="Arial" w:hAnsi="Times New Roman" w:cs="Times New Roman"/>
          <w:bCs/>
          <w:sz w:val="24"/>
          <w:szCs w:val="24"/>
        </w:rPr>
      </w:pPr>
      <w:r w:rsidRPr="00BD29A7">
        <w:rPr>
          <w:rFonts w:ascii="Times New Roman" w:eastAsia="Arial" w:hAnsi="Times New Roman" w:cs="Times New Roman"/>
          <w:bCs/>
          <w:sz w:val="24"/>
          <w:szCs w:val="24"/>
        </w:rPr>
        <w:tab/>
        <w:t>A conta de pagamento corresponde ao equivalente da conta bancária em transações normais, onde devem ser registrados débitos e créditos de valores. A principal característica das contas de pagamento, contudo, é que os recursos nelas mantidos constituem patrimônio separado da instituição de pagamento, não respondendo por suas dívidas nem podendo ser dados em garantia, conforme artigo 12 da Lei 12.865/2013</w:t>
      </w:r>
      <w:r w:rsidR="00923A25">
        <w:rPr>
          <w:rStyle w:val="Refdenotaderodap"/>
          <w:rFonts w:ascii="Times New Roman" w:eastAsia="Arial" w:hAnsi="Times New Roman" w:cs="Times New Roman"/>
          <w:bCs/>
          <w:sz w:val="24"/>
          <w:szCs w:val="24"/>
        </w:rPr>
        <w:footnoteReference w:id="3"/>
      </w:r>
      <w:r w:rsidRPr="00BD29A7">
        <w:rPr>
          <w:rFonts w:ascii="Times New Roman" w:eastAsia="Arial" w:hAnsi="Times New Roman" w:cs="Times New Roman"/>
          <w:bCs/>
          <w:sz w:val="24"/>
          <w:szCs w:val="24"/>
        </w:rPr>
        <w:t xml:space="preserve">. Nesse sentido, os recursos financeiros correspondentes aos valores em moeda eletrônica em contas de pagamento mantidas em uma emissora de moeda eletrônica devem ser por ela recolhidos em espécie em conta no Banco Central do Brasil ou aplicados em títulos públicos federais (vide art. 12, </w:t>
      </w:r>
      <w:r w:rsidRPr="00BD29A7">
        <w:rPr>
          <w:rFonts w:ascii="Times New Roman" w:eastAsia="Arial" w:hAnsi="Times New Roman" w:cs="Times New Roman"/>
          <w:bCs/>
          <w:i/>
          <w:iCs/>
          <w:sz w:val="24"/>
          <w:szCs w:val="24"/>
        </w:rPr>
        <w:t xml:space="preserve">caput </w:t>
      </w:r>
      <w:r w:rsidRPr="00BD29A7">
        <w:rPr>
          <w:rFonts w:ascii="Times New Roman" w:eastAsia="Arial" w:hAnsi="Times New Roman" w:cs="Times New Roman"/>
          <w:bCs/>
          <w:sz w:val="24"/>
          <w:szCs w:val="24"/>
        </w:rPr>
        <w:t>e 1º da Circular nº 3.681/2013).</w:t>
      </w:r>
    </w:p>
    <w:p w14:paraId="66D1EB5D" w14:textId="77777777" w:rsidR="00BD29A7" w:rsidRPr="00BD29A7" w:rsidRDefault="00BD29A7" w:rsidP="00D61DCB">
      <w:pPr>
        <w:spacing w:after="0" w:line="360" w:lineRule="auto"/>
        <w:jc w:val="both"/>
        <w:rPr>
          <w:rFonts w:ascii="Times New Roman" w:eastAsia="Arial" w:hAnsi="Times New Roman" w:cs="Times New Roman"/>
          <w:bCs/>
          <w:sz w:val="24"/>
          <w:szCs w:val="24"/>
        </w:rPr>
      </w:pPr>
      <w:r w:rsidRPr="00BD29A7">
        <w:rPr>
          <w:rFonts w:ascii="Times New Roman" w:eastAsia="Arial" w:hAnsi="Times New Roman" w:cs="Times New Roman"/>
          <w:bCs/>
          <w:sz w:val="24"/>
          <w:szCs w:val="24"/>
        </w:rPr>
        <w:tab/>
        <w:t>Essa obrigatoriedade visa garantir que as instituições de pagamento não utilizem os recursos para outras finalidades, evitando riscos financeiros que possam comprometer a segurança dos valores dos usuários. Caso contrário, elas incorreriam em atividade privativa de instituição financeira em virtude da livre aplicação dos recursos, o que é expressamente vedado pelo artigo 6º, §2º da Lei 12.865/2013.</w:t>
      </w:r>
    </w:p>
    <w:p w14:paraId="1E3F4626" w14:textId="77777777" w:rsidR="00BD29A7" w:rsidRPr="00BD29A7" w:rsidRDefault="00BD29A7" w:rsidP="00D61DCB">
      <w:pPr>
        <w:spacing w:after="0" w:line="360" w:lineRule="auto"/>
        <w:jc w:val="both"/>
        <w:rPr>
          <w:rFonts w:ascii="Times New Roman" w:eastAsia="Arial" w:hAnsi="Times New Roman" w:cs="Times New Roman"/>
          <w:bCs/>
          <w:sz w:val="24"/>
          <w:szCs w:val="24"/>
        </w:rPr>
      </w:pPr>
      <w:r w:rsidRPr="00BD29A7">
        <w:rPr>
          <w:rFonts w:ascii="Times New Roman" w:eastAsia="Arial" w:hAnsi="Times New Roman" w:cs="Times New Roman"/>
          <w:bCs/>
          <w:sz w:val="24"/>
          <w:szCs w:val="24"/>
        </w:rPr>
        <w:tab/>
        <w:t>Conclui-se que a conta de pagamento é vista como um conjunto segregado de relações jurídicas entre o titular e a instituição que a mantém, cuja utilização se limita às finalidades estabelecidas, como transações comerciais ou transferências previamente autorizadas. As contas bancárias, por sua vez, ao serem mantidas por instituições financeiras, permitem um grau maior de discricionariedade para a gestão dos recursos, inclusive para concessão de empréstimos.</w:t>
      </w:r>
    </w:p>
    <w:p w14:paraId="7C72E0D7" w14:textId="77777777" w:rsidR="00BD29A7" w:rsidRPr="00BD29A7" w:rsidRDefault="00BD29A7" w:rsidP="00D61DCB">
      <w:pPr>
        <w:spacing w:after="0" w:line="360" w:lineRule="auto"/>
        <w:jc w:val="both"/>
        <w:rPr>
          <w:rFonts w:ascii="Times New Roman" w:eastAsia="Arial" w:hAnsi="Times New Roman" w:cs="Times New Roman"/>
          <w:bCs/>
          <w:sz w:val="24"/>
          <w:szCs w:val="24"/>
        </w:rPr>
      </w:pPr>
      <w:r w:rsidRPr="00BD29A7">
        <w:rPr>
          <w:rFonts w:ascii="Times New Roman" w:eastAsia="Arial" w:hAnsi="Times New Roman" w:cs="Times New Roman"/>
          <w:bCs/>
          <w:sz w:val="24"/>
          <w:szCs w:val="24"/>
        </w:rPr>
        <w:tab/>
        <w:t>O depósito realizado em uma conta bancária passa a integrar o patrimônio da instituição financeira, que pode utilizá-los para atividades de crédito. Em contrapartida, a instituição assume o compromisso de devolver o valor depositado quando solicitado. Em virtude disso, as contas bancárias estão sujeitas a um regime regulatório mais rigoroso, especialmente no que diz respeito à liquidez e capital mínimo, conforme as recomendações de Basileia.</w:t>
      </w:r>
    </w:p>
    <w:p w14:paraId="5E288B6B" w14:textId="77777777" w:rsidR="00BD29A7" w:rsidRPr="00BD29A7" w:rsidRDefault="00BD29A7" w:rsidP="00D61DCB">
      <w:pPr>
        <w:spacing w:after="0" w:line="360" w:lineRule="auto"/>
        <w:ind w:firstLine="708"/>
        <w:jc w:val="both"/>
        <w:rPr>
          <w:rFonts w:ascii="Times New Roman" w:eastAsia="Arial" w:hAnsi="Times New Roman" w:cs="Times New Roman"/>
          <w:bCs/>
          <w:sz w:val="24"/>
          <w:szCs w:val="24"/>
        </w:rPr>
      </w:pPr>
      <w:r w:rsidRPr="00BD29A7">
        <w:rPr>
          <w:rFonts w:ascii="Times New Roman" w:eastAsia="Arial" w:hAnsi="Times New Roman" w:cs="Times New Roman"/>
          <w:bCs/>
          <w:sz w:val="24"/>
          <w:szCs w:val="24"/>
        </w:rPr>
        <w:lastRenderedPageBreak/>
        <w:t>As complexas normas regulatórias sobre capital e patrimônio de instituições financeiras derivadas das recomendações do Comitê da Basileia não se aplicam. As instituições de pagamento devem manter um patrimônio mínimo correspondente a 2% do saldo de suas transações nos últimos 12 meses, ou, no caso de emissoras de moeda eletrônica, ao maior valor entre 2% do saldo das transações nos últimos 12 meses ou do valor de moeda eletrônica emitida a cada dia. Esse requisito substitui as normas complexas aplicáveis às instituições financeiras, garantindo uma estrutura de capital mais simples.</w:t>
      </w:r>
    </w:p>
    <w:p w14:paraId="430AFA77" w14:textId="77777777" w:rsidR="008A7972" w:rsidRPr="008A7972" w:rsidRDefault="008A7972" w:rsidP="008A7972">
      <w:pPr>
        <w:rPr>
          <w:rFonts w:ascii="Times New Roman" w:eastAsia="Arial" w:hAnsi="Times New Roman" w:cs="Times New Roman"/>
          <w:b/>
          <w:sz w:val="24"/>
          <w:szCs w:val="24"/>
        </w:rPr>
      </w:pPr>
    </w:p>
    <w:p w14:paraId="0CE4DAA9" w14:textId="449DBDEC" w:rsidR="008A7972" w:rsidRPr="00B42DC9" w:rsidRDefault="008A7972" w:rsidP="00B42DC9">
      <w:pPr>
        <w:pStyle w:val="Ttulo1"/>
        <w:spacing w:before="0" w:after="0"/>
        <w:rPr>
          <w:rFonts w:ascii="Times New Roman" w:hAnsi="Times New Roman" w:cs="Times New Roman"/>
          <w:b/>
          <w:bCs/>
          <w:color w:val="auto"/>
          <w:sz w:val="24"/>
          <w:szCs w:val="24"/>
        </w:rPr>
      </w:pPr>
      <w:bookmarkStart w:id="19" w:name="_Toc201336669"/>
      <w:r w:rsidRPr="00B42DC9">
        <w:rPr>
          <w:rFonts w:ascii="Times New Roman" w:hAnsi="Times New Roman" w:cs="Times New Roman"/>
          <w:b/>
          <w:bCs/>
          <w:color w:val="auto"/>
          <w:sz w:val="24"/>
          <w:szCs w:val="24"/>
        </w:rPr>
        <w:t>4. INOVAÇÕES E DESAFIOS RECENTES</w:t>
      </w:r>
      <w:bookmarkEnd w:id="19"/>
    </w:p>
    <w:p w14:paraId="03F2BA65" w14:textId="77777777" w:rsidR="00D61DCB" w:rsidRDefault="00D61DCB" w:rsidP="00D61DCB">
      <w:pPr>
        <w:pBdr>
          <w:top w:val="nil"/>
          <w:left w:val="nil"/>
          <w:bottom w:val="nil"/>
          <w:right w:val="nil"/>
          <w:between w:val="nil"/>
        </w:pBdr>
        <w:spacing w:after="0" w:line="276" w:lineRule="auto"/>
        <w:ind w:firstLine="708"/>
        <w:jc w:val="both"/>
        <w:rPr>
          <w:rFonts w:ascii="Times New Roman" w:eastAsia="Arial" w:hAnsi="Times New Roman" w:cs="Times New Roman"/>
          <w:bCs/>
          <w:color w:val="000000"/>
          <w:sz w:val="24"/>
          <w:szCs w:val="24"/>
        </w:rPr>
      </w:pPr>
    </w:p>
    <w:p w14:paraId="5217C59B" w14:textId="059D7088" w:rsidR="00A1097F" w:rsidRPr="00A1097F" w:rsidRDefault="00A1097F" w:rsidP="00923A25">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De forma a viabilizar a liquidação dos pagamentos instantâneos, o Banco Central foi apontado como responsável por operar a infraestrutura centralizada de liquidação bruta em tempo real, por meio da qual as transações são liquidadas individualmente 24 horas por dia, 7 dias por semana, durante todos os dias do ano. Trata-se, portanto, do Sistema de Pagamentos Instantâneo (SPI), cuja criação foi motivada pela necessidade de modernizar o sistema de pagamentos brasileiro, promovendo maior eficiência, acessibilidade e rapidez nas transações financeiras. </w:t>
      </w:r>
    </w:p>
    <w:p w14:paraId="7504A9F1" w14:textId="77777777" w:rsidR="00A1097F" w:rsidRPr="00A1097F" w:rsidRDefault="00A1097F" w:rsidP="00923A25">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No SPI, ocorre a liquidação em tempo real das operações de pagamentos instantâneos entre instituições participantes do arranjo Pix, por meio de lançamentos nas contas de propósito específico mantidas junto ao Banco Central, as Contas Pagamento Instantâneo (Contas PI). Tais contas se destinam ao registro, em moeda nacional, do saldo mantido no Banco Central para fins de liquidação de operações no âmbito do SPI, transferência de fundos correspondentes à liquidação das ordens de pagamento instantâneo submetidas para processamento pelo SPI, e das transferências de fundos correspondentes à liquidação dos mecanismos de provimento de liquidez para a Conta PI.</w:t>
      </w:r>
    </w:p>
    <w:p w14:paraId="4EF86C33" w14:textId="6A22ABCE" w:rsidR="00A1097F" w:rsidRPr="00A1097F" w:rsidRDefault="00A1097F" w:rsidP="00A1097F">
      <w:pPr>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ab/>
        <w:t xml:space="preserve">Enquanto o sistema de compensação e liquidação instantâneo é indispensável ao funcionamento do arranjo, a adesão ao SPI é obrigatória para os participantes do Pix, podendo ocorrer de forma direta ou indireta. Na primeira modalidade, a instituição possui uma Conta PI e mantém conexão direta com o SPI, de forma que seu regime de responsabilidade </w:t>
      </w:r>
      <w:r w:rsidR="00C61B0C" w:rsidRPr="00A1097F">
        <w:rPr>
          <w:rFonts w:ascii="Times New Roman" w:eastAsia="Arial" w:hAnsi="Times New Roman" w:cs="Times New Roman"/>
          <w:bCs/>
          <w:color w:val="000000"/>
          <w:sz w:val="24"/>
          <w:szCs w:val="24"/>
        </w:rPr>
        <w:t>se torna</w:t>
      </w:r>
      <w:r w:rsidRPr="00A1097F">
        <w:rPr>
          <w:rFonts w:ascii="Times New Roman" w:eastAsia="Arial" w:hAnsi="Times New Roman" w:cs="Times New Roman"/>
          <w:bCs/>
          <w:color w:val="000000"/>
          <w:sz w:val="24"/>
          <w:szCs w:val="24"/>
        </w:rPr>
        <w:t xml:space="preserve"> mais rigoroso visto que exerce a função efetiva de agente liquidante. Já a segunda modalidade, a instituição não mantém uma Conta PI, devendo celebrar um acordo com um participante direto, que atua como seu liquidante nas transações.</w:t>
      </w:r>
    </w:p>
    <w:p w14:paraId="2B5BBEDD" w14:textId="77777777" w:rsidR="00A1097F" w:rsidRPr="00A1097F" w:rsidRDefault="00A1097F" w:rsidP="00923A25">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lastRenderedPageBreak/>
        <w:t>O Banco Central possui o papel de operador do SPI, assegurando sua estabilidade, processamento eficiente e controle de riscos. Além disso, há a possibilidade de remuneração de depósitos mantidos em Conta PI por instituições não-financeiras, de maneira que fica autorizada, no âmbito do SPI, a remuneração de determinados saldos em favor das instituições mantenedoras.</w:t>
      </w:r>
    </w:p>
    <w:p w14:paraId="79B5F20F" w14:textId="77777777" w:rsidR="00A1097F" w:rsidRPr="00A1097F" w:rsidRDefault="00A1097F" w:rsidP="00A1097F">
      <w:pPr>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p>
    <w:p w14:paraId="5414181E" w14:textId="62390B6F" w:rsidR="00A1097F" w:rsidRPr="005E18DC" w:rsidRDefault="00A1097F" w:rsidP="005E18DC">
      <w:pPr>
        <w:pStyle w:val="Ttulo2"/>
        <w:spacing w:before="0" w:after="0"/>
        <w:rPr>
          <w:rFonts w:ascii="Times New Roman" w:eastAsia="Arial" w:hAnsi="Times New Roman" w:cs="Times New Roman"/>
          <w:b/>
          <w:bCs/>
          <w:color w:val="auto"/>
          <w:sz w:val="24"/>
          <w:szCs w:val="24"/>
        </w:rPr>
      </w:pPr>
      <w:bookmarkStart w:id="20" w:name="_Toc201336670"/>
      <w:r w:rsidRPr="005E18DC">
        <w:rPr>
          <w:rFonts w:ascii="Times New Roman" w:eastAsia="Arial" w:hAnsi="Times New Roman" w:cs="Times New Roman"/>
          <w:b/>
          <w:bCs/>
          <w:color w:val="auto"/>
          <w:sz w:val="24"/>
          <w:szCs w:val="24"/>
        </w:rPr>
        <w:t>4.</w:t>
      </w:r>
      <w:r w:rsidR="005E18DC">
        <w:rPr>
          <w:rFonts w:ascii="Times New Roman" w:eastAsia="Arial" w:hAnsi="Times New Roman" w:cs="Times New Roman"/>
          <w:b/>
          <w:bCs/>
          <w:color w:val="auto"/>
          <w:sz w:val="24"/>
          <w:szCs w:val="24"/>
        </w:rPr>
        <w:t>1.</w:t>
      </w:r>
      <w:r w:rsidRPr="005E18DC">
        <w:rPr>
          <w:rFonts w:ascii="Times New Roman" w:eastAsia="Arial" w:hAnsi="Times New Roman" w:cs="Times New Roman"/>
          <w:b/>
          <w:bCs/>
          <w:color w:val="auto"/>
          <w:sz w:val="24"/>
          <w:szCs w:val="24"/>
        </w:rPr>
        <w:t xml:space="preserve"> Arranjo de Pagamento Pix</w:t>
      </w:r>
      <w:bookmarkEnd w:id="20"/>
    </w:p>
    <w:p w14:paraId="74284847" w14:textId="77777777" w:rsidR="00D61DCB" w:rsidRDefault="00A1097F" w:rsidP="00D61DCB">
      <w:pPr>
        <w:pBdr>
          <w:top w:val="nil"/>
          <w:left w:val="nil"/>
          <w:bottom w:val="nil"/>
          <w:right w:val="nil"/>
          <w:between w:val="nil"/>
        </w:pBdr>
        <w:spacing w:after="0" w:line="276" w:lineRule="auto"/>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ab/>
      </w:r>
    </w:p>
    <w:p w14:paraId="21EE1BAE" w14:textId="2B21B5BD" w:rsidR="00A1097F" w:rsidRPr="00A1097F" w:rsidRDefault="00A1097F" w:rsidP="00D61DCB">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O Pix é o primeiro arranjo de pagamento instantâneo autorizado pelo Banco Central do Brasil, criado oficialmente em agosto de 2020, em um contexto no qual buscava-se aumentar a conveniência e a eficiência em relação aos meios preexistentes. Ele foi desenvolvido para oferecer uma alternativa rápida, barata e segura às formas tradicionais de pagamento, como TED, DOC e cartões</w:t>
      </w:r>
      <w:r w:rsidR="00994BBF">
        <w:rPr>
          <w:rFonts w:ascii="Times New Roman" w:eastAsia="Arial" w:hAnsi="Times New Roman" w:cs="Times New Roman"/>
          <w:bCs/>
          <w:color w:val="000000"/>
          <w:sz w:val="24"/>
          <w:szCs w:val="24"/>
        </w:rPr>
        <w:t xml:space="preserve"> (COHEN, 2023)</w:t>
      </w:r>
      <w:r w:rsidRPr="00A1097F">
        <w:rPr>
          <w:rFonts w:ascii="Times New Roman" w:eastAsia="Arial" w:hAnsi="Times New Roman" w:cs="Times New Roman"/>
          <w:bCs/>
          <w:color w:val="000000"/>
          <w:sz w:val="24"/>
          <w:szCs w:val="24"/>
        </w:rPr>
        <w:t>. </w:t>
      </w:r>
    </w:p>
    <w:p w14:paraId="46A8A173" w14:textId="77777777" w:rsidR="00A1097F" w:rsidRPr="00A1097F" w:rsidRDefault="00A1097F" w:rsidP="00D61DCB">
      <w:pPr>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ab/>
        <w:t>Ao instituir o Pix, o Bacen estabeleceu um critério de obrigatoriedade de participação previamente definido para instituições financeiras e de pagamento de maior porte (mais de 500 mil contas de cliente ativas), além de estabelecer a possibilidade de adesão facultativa para a Secretaria do Tesouro Nacional (STN), bem como para as demais instituições ofertantes de contas transacionais que não tenham alcançado o referido número de clientes ativos.</w:t>
      </w:r>
    </w:p>
    <w:p w14:paraId="4E469E4E" w14:textId="77777777" w:rsidR="00A1097F" w:rsidRPr="00A1097F" w:rsidRDefault="00A1097F" w:rsidP="00D61DCB">
      <w:pPr>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ab/>
        <w:t>Além disso, para ofertarem o Pix aos clientes, as instituições participantes do arranjo devem acessar o Diretório de Identificadores de Contas Transacionais (DICT), um sistema tecnológico constituído pelo Bacen que armazena as chaves Pix vinculadas às informações sobre os usuários e suas correspondentes contas transacionais, a fim de facilitar o processo de iniciação de transações por pagadores, de mitigar o risco de fraude e de suportar funcionalidades que contribuem para o bom funcionamento do arranjo. Note, portanto, que a chave Pix consiste na informação relacionada ao titular de uma conta transacional, viabilizando a transação de pagamento, cuja funcionalidade é permitir a obtenção de informações sobre o usuário final recebedor e sobre sua conta transacional no âmbito do DICT.</w:t>
      </w:r>
    </w:p>
    <w:p w14:paraId="0633F4E6" w14:textId="2DD42054" w:rsidR="00A1097F" w:rsidRPr="00A1097F" w:rsidRDefault="00A1097F" w:rsidP="00D61DCB">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 xml:space="preserve">Os pagamentos instantâneos são soluções que viabilizam, com o uso da tecnologia, o processamento de pagamentos em tempo real, a qualquer momento, com a finalidade de permitir que os recursos sejam transferidos de forma imediata ao </w:t>
      </w:r>
      <w:r w:rsidRPr="00A1097F">
        <w:rPr>
          <w:rFonts w:ascii="Times New Roman" w:eastAsia="Arial" w:hAnsi="Times New Roman" w:cs="Times New Roman"/>
          <w:bCs/>
          <w:color w:val="000000"/>
          <w:sz w:val="24"/>
          <w:szCs w:val="24"/>
        </w:rPr>
        <w:lastRenderedPageBreak/>
        <w:t>destinatário, sem a necessidade de intermediários, como cartões ou boletos. Sua adoção tem promovido maior inclusão financeira e competição no setor bancário</w:t>
      </w:r>
      <w:r w:rsidR="00CA33BE">
        <w:rPr>
          <w:rStyle w:val="Refdenotaderodap"/>
          <w:rFonts w:ascii="Times New Roman" w:eastAsia="Arial" w:hAnsi="Times New Roman" w:cs="Times New Roman"/>
          <w:bCs/>
          <w:color w:val="000000"/>
          <w:sz w:val="24"/>
          <w:szCs w:val="24"/>
        </w:rPr>
        <w:footnoteReference w:id="4"/>
      </w:r>
      <w:r w:rsidRPr="00A1097F">
        <w:rPr>
          <w:rFonts w:ascii="Times New Roman" w:eastAsia="Arial" w:hAnsi="Times New Roman" w:cs="Times New Roman"/>
          <w:bCs/>
          <w:color w:val="000000"/>
          <w:sz w:val="24"/>
          <w:szCs w:val="24"/>
        </w:rPr>
        <w:t>.</w:t>
      </w:r>
    </w:p>
    <w:p w14:paraId="1246D7E0" w14:textId="77777777" w:rsidR="00A1097F" w:rsidRPr="00A1097F" w:rsidRDefault="00A1097F" w:rsidP="00D61DCB">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São transações financeiras eletrônicas que ocorrem em tempo real, permitindo a transferência imediata de recursos entre diferentes instituições, independentemente do horário ou dia da semana. Esse modelo reduz custos operacionais e aumenta a eficiência dos sistemas de pagamento.</w:t>
      </w:r>
    </w:p>
    <w:p w14:paraId="42D46851" w14:textId="77777777" w:rsidR="00A1097F" w:rsidRPr="00A1097F" w:rsidRDefault="00A1097F" w:rsidP="00D61DCB">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Dentre suas principais características estão a instantaneidade, a disponibilidade, a gratuidade para pessoa física, a versatilidade (utilizado tanto para transações entre pessoas, pessoas e empresas, empresas e governo, quanto para operações envolvendo o setor público), a chave pix como forma simplificado de identificar contas transacionais, integração com o DICT (o Diretório de Identificadores de Contas Transacionais mantém o registro das chaves Pix e garante a segurança e rapidez no processamento), a eficiência e rapidez, a inclusão financeira e a competitividade.</w:t>
      </w:r>
    </w:p>
    <w:p w14:paraId="69B2D140" w14:textId="77777777" w:rsidR="00A1097F" w:rsidRPr="00A1097F" w:rsidRDefault="00A1097F" w:rsidP="00D61DCB">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Nesse cenário, a participação no Pix pode ocorrer por meio de quatro modalidade: (i) provedor de conta transacional, no qual estão aptas a atuar as instituições de pagamento e financeiras que oferecem contas transacionais aos seus clientes; (</w:t>
      </w:r>
      <w:proofErr w:type="spellStart"/>
      <w:r w:rsidRPr="00A1097F">
        <w:rPr>
          <w:rFonts w:ascii="Times New Roman" w:eastAsia="Arial" w:hAnsi="Times New Roman" w:cs="Times New Roman"/>
          <w:bCs/>
          <w:color w:val="000000"/>
          <w:sz w:val="24"/>
          <w:szCs w:val="24"/>
        </w:rPr>
        <w:t>ii</w:t>
      </w:r>
      <w:proofErr w:type="spellEnd"/>
      <w:r w:rsidRPr="00A1097F">
        <w:rPr>
          <w:rFonts w:ascii="Times New Roman" w:eastAsia="Arial" w:hAnsi="Times New Roman" w:cs="Times New Roman"/>
          <w:bCs/>
          <w:color w:val="000000"/>
          <w:sz w:val="24"/>
          <w:szCs w:val="24"/>
        </w:rPr>
        <w:t>) entes governamentais, o qual se limita a Secretaria do Tesouro Nacional, a fim de realizar recolhimentos e pagamentos relativos às suas atividades típicas; (</w:t>
      </w:r>
      <w:proofErr w:type="spellStart"/>
      <w:r w:rsidRPr="00A1097F">
        <w:rPr>
          <w:rFonts w:ascii="Times New Roman" w:eastAsia="Arial" w:hAnsi="Times New Roman" w:cs="Times New Roman"/>
          <w:bCs/>
          <w:color w:val="000000"/>
          <w:sz w:val="24"/>
          <w:szCs w:val="24"/>
        </w:rPr>
        <w:t>iii</w:t>
      </w:r>
      <w:proofErr w:type="spellEnd"/>
      <w:r w:rsidRPr="00A1097F">
        <w:rPr>
          <w:rFonts w:ascii="Times New Roman" w:eastAsia="Arial" w:hAnsi="Times New Roman" w:cs="Times New Roman"/>
          <w:bCs/>
          <w:color w:val="000000"/>
          <w:sz w:val="24"/>
          <w:szCs w:val="24"/>
        </w:rPr>
        <w:t>) liquidante especial, na qual podem participar as instituições financeiras e de pagamento que tenham como objeto exclusivo a prestação de serviço de liquidação a outros participantes; e (</w:t>
      </w:r>
      <w:proofErr w:type="spellStart"/>
      <w:r w:rsidRPr="00A1097F">
        <w:rPr>
          <w:rFonts w:ascii="Times New Roman" w:eastAsia="Arial" w:hAnsi="Times New Roman" w:cs="Times New Roman"/>
          <w:bCs/>
          <w:color w:val="000000"/>
          <w:sz w:val="24"/>
          <w:szCs w:val="24"/>
        </w:rPr>
        <w:t>iv</w:t>
      </w:r>
      <w:proofErr w:type="spellEnd"/>
      <w:r w:rsidRPr="00A1097F">
        <w:rPr>
          <w:rFonts w:ascii="Times New Roman" w:eastAsia="Arial" w:hAnsi="Times New Roman" w:cs="Times New Roman"/>
          <w:bCs/>
          <w:color w:val="000000"/>
          <w:sz w:val="24"/>
          <w:szCs w:val="24"/>
        </w:rPr>
        <w:t>) iniciadoras de transação de pagamento, as quais iniciam o pagamento em nome do usuários, apesar de não manterem contas transacionais, e da qual estão aptas a participar as instituições financeiras e de pagamento que prestem o serviço de iniciação de transações via Pix.</w:t>
      </w:r>
    </w:p>
    <w:p w14:paraId="0C127EB0" w14:textId="77777777" w:rsidR="00A1097F" w:rsidRPr="00A1097F" w:rsidRDefault="00A1097F" w:rsidP="00D61DCB">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Por fim, nota-se que o Pix tem se expandido continuamente com novas funcionalidades, como o Pix Saque e o Pix Troco. O primeiro consiste no serviço por meio do qual o usuário realiza um Pix para um estabelecimento comercial habilitado a atuar como agente de saque, para fins de sacar em espécie o valor transferido. Já o segundo permite a realização de um Pix superior ao valor da transação inicial para que o usuário possa receber a diferença em espécie como troco da operação.</w:t>
      </w:r>
    </w:p>
    <w:p w14:paraId="3C92D1C5" w14:textId="77777777" w:rsidR="00A1097F" w:rsidRPr="00A1097F" w:rsidRDefault="00A1097F" w:rsidP="00D61DCB">
      <w:pPr>
        <w:pBdr>
          <w:top w:val="nil"/>
          <w:left w:val="nil"/>
          <w:bottom w:val="nil"/>
          <w:right w:val="nil"/>
          <w:between w:val="nil"/>
        </w:pBdr>
        <w:spacing w:after="0" w:line="360" w:lineRule="auto"/>
        <w:ind w:firstLine="708"/>
        <w:jc w:val="both"/>
        <w:rPr>
          <w:rFonts w:ascii="Times New Roman" w:eastAsia="Arial" w:hAnsi="Times New Roman" w:cs="Times New Roman"/>
          <w:bCs/>
          <w:color w:val="000000"/>
          <w:sz w:val="24"/>
          <w:szCs w:val="24"/>
        </w:rPr>
      </w:pPr>
      <w:r w:rsidRPr="00A1097F">
        <w:rPr>
          <w:rFonts w:ascii="Times New Roman" w:eastAsia="Arial" w:hAnsi="Times New Roman" w:cs="Times New Roman"/>
          <w:bCs/>
          <w:color w:val="000000"/>
          <w:sz w:val="24"/>
          <w:szCs w:val="24"/>
        </w:rPr>
        <w:t xml:space="preserve">Além disso, tem-se o Pix Automático, através do qual é possível programar cobranças recorrentes mediante uma única autorização, o Pix Internacional, voltado à </w:t>
      </w:r>
      <w:r w:rsidRPr="00A1097F">
        <w:rPr>
          <w:rFonts w:ascii="Times New Roman" w:eastAsia="Arial" w:hAnsi="Times New Roman" w:cs="Times New Roman"/>
          <w:bCs/>
          <w:color w:val="000000"/>
          <w:sz w:val="24"/>
          <w:szCs w:val="24"/>
        </w:rPr>
        <w:lastRenderedPageBreak/>
        <w:t xml:space="preserve">realização de transações </w:t>
      </w:r>
      <w:proofErr w:type="spellStart"/>
      <w:r w:rsidRPr="00A1097F">
        <w:rPr>
          <w:rFonts w:ascii="Times New Roman" w:eastAsia="Arial" w:hAnsi="Times New Roman" w:cs="Times New Roman"/>
          <w:bCs/>
          <w:color w:val="000000"/>
          <w:sz w:val="24"/>
          <w:szCs w:val="24"/>
        </w:rPr>
        <w:t>cross-border</w:t>
      </w:r>
      <w:proofErr w:type="spellEnd"/>
      <w:r w:rsidRPr="00A1097F">
        <w:rPr>
          <w:rFonts w:ascii="Times New Roman" w:eastAsia="Arial" w:hAnsi="Times New Roman" w:cs="Times New Roman"/>
          <w:bCs/>
          <w:color w:val="000000"/>
          <w:sz w:val="24"/>
          <w:szCs w:val="24"/>
        </w:rPr>
        <w:t>, e até mesmo o Pix Offline (permite operações sem conexão com a internet) e o Pix com Biometria (com vistas a aumentar a segurança das transações).</w:t>
      </w:r>
    </w:p>
    <w:p w14:paraId="7B55B785" w14:textId="77777777" w:rsidR="008A7972" w:rsidRPr="00034824" w:rsidRDefault="008A7972" w:rsidP="008A7972">
      <w:pPr>
        <w:pBdr>
          <w:top w:val="nil"/>
          <w:left w:val="nil"/>
          <w:bottom w:val="nil"/>
          <w:right w:val="nil"/>
          <w:between w:val="nil"/>
        </w:pBdr>
        <w:spacing w:line="360" w:lineRule="auto"/>
        <w:jc w:val="both"/>
        <w:rPr>
          <w:rFonts w:ascii="Times New Roman" w:eastAsia="Arial" w:hAnsi="Times New Roman" w:cs="Times New Roman"/>
          <w:b/>
          <w:color w:val="000000"/>
          <w:sz w:val="24"/>
          <w:szCs w:val="24"/>
        </w:rPr>
      </w:pPr>
    </w:p>
    <w:p w14:paraId="08ED2659" w14:textId="60239BD9" w:rsidR="008A7972" w:rsidRPr="00B42DC9" w:rsidRDefault="008A7972" w:rsidP="00B42DC9">
      <w:pPr>
        <w:pStyle w:val="Ttulo1"/>
        <w:spacing w:before="0" w:after="0"/>
        <w:rPr>
          <w:rFonts w:ascii="Times New Roman" w:hAnsi="Times New Roman" w:cs="Times New Roman"/>
          <w:b/>
          <w:bCs/>
          <w:color w:val="auto"/>
          <w:sz w:val="24"/>
          <w:szCs w:val="24"/>
        </w:rPr>
      </w:pPr>
      <w:bookmarkStart w:id="21" w:name="_Toc201336671"/>
      <w:r w:rsidRPr="00B42DC9">
        <w:rPr>
          <w:rFonts w:ascii="Times New Roman" w:hAnsi="Times New Roman" w:cs="Times New Roman"/>
          <w:b/>
          <w:bCs/>
          <w:color w:val="auto"/>
          <w:sz w:val="24"/>
          <w:szCs w:val="24"/>
        </w:rPr>
        <w:t>5. CONSIDERAÇÕES FINAIS</w:t>
      </w:r>
      <w:bookmarkEnd w:id="21"/>
    </w:p>
    <w:p w14:paraId="272FBDF1" w14:textId="77777777" w:rsidR="00DC6FB5" w:rsidRDefault="00DC6FB5" w:rsidP="00DC6FB5">
      <w:pPr>
        <w:spacing w:after="0" w:line="276" w:lineRule="auto"/>
        <w:ind w:firstLine="708"/>
        <w:jc w:val="both"/>
        <w:rPr>
          <w:rFonts w:ascii="Times New Roman" w:eastAsia="Arial" w:hAnsi="Times New Roman" w:cs="Times New Roman"/>
          <w:bCs/>
          <w:sz w:val="24"/>
          <w:szCs w:val="24"/>
        </w:rPr>
      </w:pPr>
    </w:p>
    <w:p w14:paraId="7157986E" w14:textId="5E14B55A" w:rsidR="00DC6FB5" w:rsidRPr="00DC6FB5" w:rsidRDefault="00DC6FB5" w:rsidP="00DC6FB5">
      <w:pPr>
        <w:spacing w:after="0" w:line="360" w:lineRule="auto"/>
        <w:ind w:firstLine="708"/>
        <w:jc w:val="both"/>
        <w:rPr>
          <w:rFonts w:ascii="Times New Roman" w:eastAsia="Arial" w:hAnsi="Times New Roman" w:cs="Times New Roman"/>
          <w:bCs/>
          <w:sz w:val="24"/>
          <w:szCs w:val="24"/>
        </w:rPr>
      </w:pPr>
      <w:r w:rsidRPr="00DC6FB5">
        <w:rPr>
          <w:rFonts w:ascii="Times New Roman" w:eastAsia="Arial" w:hAnsi="Times New Roman" w:cs="Times New Roman"/>
          <w:bCs/>
          <w:sz w:val="24"/>
          <w:szCs w:val="24"/>
        </w:rPr>
        <w:t xml:space="preserve">A análise conjunta do Sistema Financeiro Nacional (SFN) e do Sistema de Pagamentos Brasileiro (SPB) revela a complexidade e a importância da integração entre esses dois pilares da economia brasileira. Embora exerçam funções distintas, a </w:t>
      </w:r>
      <w:r w:rsidR="00BC7905">
        <w:rPr>
          <w:rFonts w:ascii="Times New Roman" w:eastAsia="Arial" w:hAnsi="Times New Roman" w:cs="Times New Roman"/>
          <w:bCs/>
          <w:sz w:val="24"/>
          <w:szCs w:val="24"/>
        </w:rPr>
        <w:t xml:space="preserve">sinergia </w:t>
      </w:r>
      <w:r w:rsidRPr="00DC6FB5">
        <w:rPr>
          <w:rFonts w:ascii="Times New Roman" w:eastAsia="Arial" w:hAnsi="Times New Roman" w:cs="Times New Roman"/>
          <w:bCs/>
          <w:sz w:val="24"/>
          <w:szCs w:val="24"/>
        </w:rPr>
        <w:t xml:space="preserve">entre seus mecanismos estruturais e operacionais </w:t>
      </w:r>
      <w:r w:rsidR="00E66C76" w:rsidRPr="00DC6FB5">
        <w:rPr>
          <w:rFonts w:ascii="Times New Roman" w:eastAsia="Arial" w:hAnsi="Times New Roman" w:cs="Times New Roman"/>
          <w:bCs/>
          <w:sz w:val="24"/>
          <w:szCs w:val="24"/>
        </w:rPr>
        <w:t>contribue</w:t>
      </w:r>
      <w:r w:rsidR="00E66C76">
        <w:rPr>
          <w:rFonts w:ascii="Times New Roman" w:eastAsia="Arial" w:hAnsi="Times New Roman" w:cs="Times New Roman"/>
          <w:bCs/>
          <w:sz w:val="24"/>
          <w:szCs w:val="24"/>
        </w:rPr>
        <w:t>m</w:t>
      </w:r>
      <w:r w:rsidRPr="00DC6FB5">
        <w:rPr>
          <w:rFonts w:ascii="Times New Roman" w:eastAsia="Arial" w:hAnsi="Times New Roman" w:cs="Times New Roman"/>
          <w:bCs/>
          <w:sz w:val="24"/>
          <w:szCs w:val="24"/>
        </w:rPr>
        <w:t xml:space="preserve"> de maneira decisiva para a estabilidade do mercado financeiro, a eficiência das transações econômicas e a consolidação de um ambiente mais seguro, competitivo e acessível.</w:t>
      </w:r>
    </w:p>
    <w:p w14:paraId="487FA81A" w14:textId="22A6C2A5" w:rsidR="00DC6FB5" w:rsidRPr="00DC6FB5" w:rsidRDefault="00E66C76" w:rsidP="00E66C76">
      <w:pPr>
        <w:spacing w:after="0" w:line="360" w:lineRule="auto"/>
        <w:ind w:firstLine="708"/>
        <w:jc w:val="both"/>
        <w:rPr>
          <w:rFonts w:ascii="Times New Roman" w:eastAsia="Arial" w:hAnsi="Times New Roman" w:cs="Times New Roman"/>
          <w:bCs/>
          <w:sz w:val="24"/>
          <w:szCs w:val="24"/>
        </w:rPr>
      </w:pPr>
      <w:r>
        <w:rPr>
          <w:rFonts w:ascii="Times New Roman" w:eastAsia="Arial" w:hAnsi="Times New Roman" w:cs="Times New Roman"/>
          <w:bCs/>
          <w:sz w:val="24"/>
          <w:szCs w:val="24"/>
        </w:rPr>
        <w:t>Importante evidenciar</w:t>
      </w:r>
      <w:r w:rsidR="00DC6FB5" w:rsidRPr="00DC6FB5">
        <w:rPr>
          <w:rFonts w:ascii="Times New Roman" w:eastAsia="Arial" w:hAnsi="Times New Roman" w:cs="Times New Roman"/>
          <w:bCs/>
          <w:sz w:val="24"/>
          <w:szCs w:val="24"/>
        </w:rPr>
        <w:t xml:space="preserve"> a introdução de inovações como o Sistema de Pagamentos Instantâneos (SPI) e o Pix</w:t>
      </w:r>
      <w:r>
        <w:rPr>
          <w:rFonts w:ascii="Times New Roman" w:eastAsia="Arial" w:hAnsi="Times New Roman" w:cs="Times New Roman"/>
          <w:bCs/>
          <w:sz w:val="24"/>
          <w:szCs w:val="24"/>
        </w:rPr>
        <w:t xml:space="preserve"> pelo Banco Central</w:t>
      </w:r>
      <w:r w:rsidR="00DC6FB5" w:rsidRPr="00DC6FB5">
        <w:rPr>
          <w:rFonts w:ascii="Times New Roman" w:eastAsia="Arial" w:hAnsi="Times New Roman" w:cs="Times New Roman"/>
          <w:bCs/>
          <w:sz w:val="24"/>
          <w:szCs w:val="24"/>
        </w:rPr>
        <w:t>, que não apenas modernizaram os meios de pagamento, mas também ampliaram significativamente a inclusão financeira e o dinamismo do sistema. Essas ferramentas evidenciam como a tecnologia, quando aliada à regulação responsáve</w:t>
      </w:r>
      <w:r w:rsidR="00510A9A">
        <w:rPr>
          <w:rFonts w:ascii="Times New Roman" w:eastAsia="Arial" w:hAnsi="Times New Roman" w:cs="Times New Roman"/>
          <w:bCs/>
          <w:sz w:val="24"/>
          <w:szCs w:val="24"/>
        </w:rPr>
        <w:t xml:space="preserve">l, </w:t>
      </w:r>
      <w:r w:rsidR="00DC6FB5" w:rsidRPr="00DC6FB5">
        <w:rPr>
          <w:rFonts w:ascii="Times New Roman" w:eastAsia="Arial" w:hAnsi="Times New Roman" w:cs="Times New Roman"/>
          <w:bCs/>
          <w:sz w:val="24"/>
          <w:szCs w:val="24"/>
        </w:rPr>
        <w:t>pode transformar positivamente a relação entre usuários</w:t>
      </w:r>
      <w:r w:rsidR="00510A9A">
        <w:rPr>
          <w:rFonts w:ascii="Times New Roman" w:eastAsia="Arial" w:hAnsi="Times New Roman" w:cs="Times New Roman"/>
          <w:bCs/>
          <w:sz w:val="24"/>
          <w:szCs w:val="24"/>
        </w:rPr>
        <w:t xml:space="preserve"> e a competitividade do sistema.</w:t>
      </w:r>
    </w:p>
    <w:p w14:paraId="6460B5E6" w14:textId="0E0EA20B" w:rsidR="00DC6FB5" w:rsidRPr="00DC6FB5" w:rsidRDefault="00DC6FB5" w:rsidP="00510A9A">
      <w:pPr>
        <w:spacing w:after="0" w:line="360" w:lineRule="auto"/>
        <w:ind w:firstLine="708"/>
        <w:jc w:val="both"/>
        <w:rPr>
          <w:rFonts w:ascii="Times New Roman" w:eastAsia="Arial" w:hAnsi="Times New Roman" w:cs="Times New Roman"/>
          <w:bCs/>
          <w:sz w:val="24"/>
          <w:szCs w:val="24"/>
        </w:rPr>
      </w:pPr>
      <w:r w:rsidRPr="00DC6FB5">
        <w:rPr>
          <w:rFonts w:ascii="Times New Roman" w:eastAsia="Arial" w:hAnsi="Times New Roman" w:cs="Times New Roman"/>
          <w:bCs/>
          <w:sz w:val="24"/>
          <w:szCs w:val="24"/>
        </w:rPr>
        <w:t xml:space="preserve">Ao longo deste trabalho, foi possível observar que a </w:t>
      </w:r>
      <w:r w:rsidR="00B76070">
        <w:rPr>
          <w:rFonts w:ascii="Times New Roman" w:eastAsia="Arial" w:hAnsi="Times New Roman" w:cs="Times New Roman"/>
          <w:bCs/>
          <w:sz w:val="24"/>
          <w:szCs w:val="24"/>
        </w:rPr>
        <w:t>integração</w:t>
      </w:r>
      <w:r w:rsidRPr="00DC6FB5">
        <w:rPr>
          <w:rFonts w:ascii="Times New Roman" w:eastAsia="Arial" w:hAnsi="Times New Roman" w:cs="Times New Roman"/>
          <w:bCs/>
          <w:sz w:val="24"/>
          <w:szCs w:val="24"/>
        </w:rPr>
        <w:t xml:space="preserve"> dos sistemas e a atuação coordenada do Banco Central e demais órgãos reguladores são fatores determinantes para a efetividade da </w:t>
      </w:r>
      <w:r w:rsidR="00B76070">
        <w:rPr>
          <w:rFonts w:ascii="Times New Roman" w:eastAsia="Arial" w:hAnsi="Times New Roman" w:cs="Times New Roman"/>
          <w:bCs/>
          <w:sz w:val="24"/>
          <w:szCs w:val="24"/>
        </w:rPr>
        <w:t xml:space="preserve">sinergia </w:t>
      </w:r>
      <w:r w:rsidRPr="00DC6FB5">
        <w:rPr>
          <w:rFonts w:ascii="Times New Roman" w:eastAsia="Arial" w:hAnsi="Times New Roman" w:cs="Times New Roman"/>
          <w:bCs/>
          <w:sz w:val="24"/>
          <w:szCs w:val="24"/>
        </w:rPr>
        <w:t>entre SFN e SPB. Essa integração, além de garantir maior fluidez às operações econômicas, fortalece a confiança da sociedade no sistema financeiro, elemento indispensável para o desenvolvimento sustentável do país.</w:t>
      </w:r>
    </w:p>
    <w:p w14:paraId="6D2F2B31" w14:textId="0375DCD7" w:rsidR="00DC6FB5" w:rsidRPr="00DC6FB5" w:rsidRDefault="00DC6FB5" w:rsidP="00B76070">
      <w:pPr>
        <w:spacing w:after="0" w:line="360" w:lineRule="auto"/>
        <w:ind w:firstLine="708"/>
        <w:jc w:val="both"/>
        <w:rPr>
          <w:rFonts w:ascii="Times New Roman" w:eastAsia="Arial" w:hAnsi="Times New Roman" w:cs="Times New Roman"/>
          <w:bCs/>
          <w:sz w:val="24"/>
          <w:szCs w:val="24"/>
        </w:rPr>
      </w:pPr>
      <w:r w:rsidRPr="00DC6FB5">
        <w:rPr>
          <w:rFonts w:ascii="Times New Roman" w:eastAsia="Arial" w:hAnsi="Times New Roman" w:cs="Times New Roman"/>
          <w:bCs/>
          <w:sz w:val="24"/>
          <w:szCs w:val="24"/>
        </w:rPr>
        <w:t xml:space="preserve">Em um contexto de transformação digital constante, o desafio que se impõe é assegurar que a modernização dos sistemas seja acompanhada de políticas </w:t>
      </w:r>
      <w:r w:rsidR="00B76070">
        <w:rPr>
          <w:rFonts w:ascii="Times New Roman" w:eastAsia="Arial" w:hAnsi="Times New Roman" w:cs="Times New Roman"/>
          <w:bCs/>
          <w:sz w:val="24"/>
          <w:szCs w:val="24"/>
        </w:rPr>
        <w:t xml:space="preserve">que </w:t>
      </w:r>
      <w:r w:rsidRPr="00DC6FB5">
        <w:rPr>
          <w:rFonts w:ascii="Times New Roman" w:eastAsia="Arial" w:hAnsi="Times New Roman" w:cs="Times New Roman"/>
          <w:bCs/>
          <w:sz w:val="24"/>
          <w:szCs w:val="24"/>
        </w:rPr>
        <w:t>promovam a concorrência, a segurança das transações e a proteção dos dados dos usuários. O futuro do sistema financeiro brasileiro dependerá, em grande parte, da capacidade de manter essa harmonia entre inovação, regulação e estabilidade — e da contínua articulação entre o SFN e o SPB como alicerces dessa evolução.</w:t>
      </w:r>
    </w:p>
    <w:p w14:paraId="1813B312" w14:textId="77777777" w:rsidR="008A7972" w:rsidRDefault="008A7972" w:rsidP="008A7972">
      <w:pPr>
        <w:rPr>
          <w:rFonts w:ascii="Times New Roman" w:eastAsia="Arial" w:hAnsi="Times New Roman" w:cs="Times New Roman"/>
          <w:b/>
          <w:sz w:val="24"/>
          <w:szCs w:val="24"/>
        </w:rPr>
      </w:pPr>
    </w:p>
    <w:p w14:paraId="4ADBA70B" w14:textId="77777777" w:rsidR="008A7972" w:rsidRDefault="008A7972" w:rsidP="008A7972">
      <w:pPr>
        <w:rPr>
          <w:rFonts w:ascii="Times New Roman" w:eastAsia="Arial" w:hAnsi="Times New Roman" w:cs="Times New Roman"/>
          <w:b/>
          <w:sz w:val="24"/>
          <w:szCs w:val="24"/>
        </w:rPr>
      </w:pPr>
    </w:p>
    <w:p w14:paraId="2210449D" w14:textId="77777777" w:rsidR="008A7972" w:rsidRDefault="008A7972" w:rsidP="008A7972">
      <w:pPr>
        <w:rPr>
          <w:rFonts w:ascii="Times New Roman" w:eastAsia="Arial" w:hAnsi="Times New Roman" w:cs="Times New Roman"/>
          <w:b/>
          <w:sz w:val="24"/>
          <w:szCs w:val="24"/>
        </w:rPr>
      </w:pPr>
    </w:p>
    <w:p w14:paraId="4A72D36A" w14:textId="77777777" w:rsidR="000E29F4" w:rsidRPr="008A7972" w:rsidRDefault="000E29F4" w:rsidP="008A7972">
      <w:pPr>
        <w:rPr>
          <w:rFonts w:ascii="Times New Roman" w:eastAsia="Arial" w:hAnsi="Times New Roman" w:cs="Times New Roman"/>
          <w:b/>
          <w:sz w:val="24"/>
          <w:szCs w:val="24"/>
        </w:rPr>
      </w:pPr>
    </w:p>
    <w:p w14:paraId="2141147E" w14:textId="58BBE89C" w:rsidR="008A7972" w:rsidRDefault="008A7972" w:rsidP="00B42DC9">
      <w:pPr>
        <w:pStyle w:val="Ttulo1"/>
        <w:spacing w:before="0" w:after="0"/>
        <w:rPr>
          <w:rFonts w:ascii="Times New Roman" w:hAnsi="Times New Roman" w:cs="Times New Roman"/>
          <w:b/>
          <w:bCs/>
          <w:color w:val="auto"/>
          <w:sz w:val="24"/>
          <w:szCs w:val="24"/>
        </w:rPr>
      </w:pPr>
      <w:bookmarkStart w:id="22" w:name="_Toc201336672"/>
      <w:r w:rsidRPr="00B42DC9">
        <w:rPr>
          <w:rFonts w:ascii="Times New Roman" w:hAnsi="Times New Roman" w:cs="Times New Roman"/>
          <w:b/>
          <w:bCs/>
          <w:color w:val="auto"/>
          <w:sz w:val="24"/>
          <w:szCs w:val="24"/>
        </w:rPr>
        <w:lastRenderedPageBreak/>
        <w:t>6. REFERÊNCIAS BIBLIOGRÁFICAS</w:t>
      </w:r>
      <w:bookmarkEnd w:id="22"/>
    </w:p>
    <w:p w14:paraId="55D92BB5" w14:textId="77777777" w:rsidR="008A7972" w:rsidRPr="008A7972" w:rsidRDefault="008A7972" w:rsidP="00FA6F84">
      <w:pPr>
        <w:spacing w:after="0" w:line="276" w:lineRule="auto"/>
      </w:pPr>
    </w:p>
    <w:p w14:paraId="5D79541E" w14:textId="77777777" w:rsidR="00FA6F84" w:rsidRDefault="00FA6F84" w:rsidP="00D637C8">
      <w:pPr>
        <w:spacing w:after="0" w:line="276" w:lineRule="auto"/>
        <w:jc w:val="both"/>
        <w:rPr>
          <w:rFonts w:ascii="Times New Roman" w:eastAsia="Arial" w:hAnsi="Times New Roman" w:cs="Times New Roman"/>
          <w:bCs/>
          <w:sz w:val="24"/>
          <w:szCs w:val="24"/>
        </w:rPr>
      </w:pPr>
      <w:r w:rsidRPr="00FA6F84">
        <w:rPr>
          <w:rFonts w:ascii="Times New Roman" w:eastAsia="Arial" w:hAnsi="Times New Roman" w:cs="Times New Roman"/>
          <w:bCs/>
          <w:sz w:val="24"/>
          <w:szCs w:val="24"/>
        </w:rPr>
        <w:t xml:space="preserve">ANBIMA – ASSOCIAÇÃO BRASILEIRA DAS ENTIDADES DOS MERCADOS FINANCEIRO E DE CAPITAIS. </w:t>
      </w:r>
      <w:r w:rsidRPr="00FA6F84">
        <w:rPr>
          <w:rFonts w:ascii="Times New Roman" w:eastAsia="Arial" w:hAnsi="Times New Roman" w:cs="Times New Roman"/>
          <w:b/>
          <w:sz w:val="24"/>
          <w:szCs w:val="24"/>
        </w:rPr>
        <w:t xml:space="preserve">Mercado financeiro de A </w:t>
      </w:r>
      <w:proofErr w:type="spellStart"/>
      <w:r w:rsidRPr="00FA6F84">
        <w:rPr>
          <w:rFonts w:ascii="Times New Roman" w:eastAsia="Arial" w:hAnsi="Times New Roman" w:cs="Times New Roman"/>
          <w:b/>
          <w:sz w:val="24"/>
          <w:szCs w:val="24"/>
        </w:rPr>
        <w:t>a</w:t>
      </w:r>
      <w:proofErr w:type="spellEnd"/>
      <w:r w:rsidRPr="00FA6F84">
        <w:rPr>
          <w:rFonts w:ascii="Times New Roman" w:eastAsia="Arial" w:hAnsi="Times New Roman" w:cs="Times New Roman"/>
          <w:b/>
          <w:sz w:val="24"/>
          <w:szCs w:val="24"/>
        </w:rPr>
        <w:t xml:space="preserve"> Z</w:t>
      </w:r>
      <w:r w:rsidRPr="00FA6F84">
        <w:rPr>
          <w:rFonts w:ascii="Times New Roman" w:eastAsia="Arial" w:hAnsi="Times New Roman" w:cs="Times New Roman"/>
          <w:bCs/>
          <w:sz w:val="24"/>
          <w:szCs w:val="24"/>
        </w:rPr>
        <w:t xml:space="preserve">. São Paulo: ANBIMA Educa, 2018. Disponível em: </w:t>
      </w:r>
      <w:hyperlink r:id="rId10" w:history="1">
        <w:r w:rsidRPr="00FA6F84">
          <w:rPr>
            <w:rStyle w:val="Hyperlink"/>
            <w:rFonts w:ascii="Times New Roman" w:eastAsia="Arial" w:hAnsi="Times New Roman" w:cs="Times New Roman"/>
            <w:bCs/>
            <w:sz w:val="24"/>
            <w:szCs w:val="24"/>
          </w:rPr>
          <w:t>https://www.anbima.com.br/</w:t>
        </w:r>
      </w:hyperlink>
      <w:r w:rsidRPr="00FA6F84">
        <w:rPr>
          <w:rFonts w:ascii="Times New Roman" w:eastAsia="Arial" w:hAnsi="Times New Roman" w:cs="Times New Roman"/>
          <w:bCs/>
          <w:sz w:val="24"/>
          <w:szCs w:val="24"/>
        </w:rPr>
        <w:t>. Acesso em 20 de abril de 2025.</w:t>
      </w:r>
    </w:p>
    <w:p w14:paraId="2989A0FC" w14:textId="01AC8941" w:rsidR="00341D3A" w:rsidRDefault="00341D3A"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 xml:space="preserve">Citação: </w:t>
      </w:r>
      <w:proofErr w:type="spellStart"/>
      <w:r>
        <w:rPr>
          <w:rFonts w:ascii="Times New Roman" w:eastAsia="Arial" w:hAnsi="Times New Roman" w:cs="Times New Roman"/>
          <w:bCs/>
          <w:sz w:val="24"/>
          <w:szCs w:val="24"/>
        </w:rPr>
        <w:t>A</w:t>
      </w:r>
      <w:r w:rsidR="00C61B0C">
        <w:rPr>
          <w:rFonts w:ascii="Times New Roman" w:eastAsia="Arial" w:hAnsi="Times New Roman" w:cs="Times New Roman"/>
          <w:bCs/>
          <w:sz w:val="24"/>
          <w:szCs w:val="24"/>
        </w:rPr>
        <w:t>nbima</w:t>
      </w:r>
      <w:proofErr w:type="spellEnd"/>
      <w:r w:rsidR="00F843B7">
        <w:rPr>
          <w:rFonts w:ascii="Times New Roman" w:eastAsia="Arial" w:hAnsi="Times New Roman" w:cs="Times New Roman"/>
          <w:bCs/>
          <w:sz w:val="24"/>
          <w:szCs w:val="24"/>
        </w:rPr>
        <w:t>, 2018</w:t>
      </w:r>
      <w:r w:rsidR="00916FDB">
        <w:rPr>
          <w:rFonts w:ascii="Times New Roman" w:eastAsia="Arial" w:hAnsi="Times New Roman" w:cs="Times New Roman"/>
          <w:bCs/>
          <w:sz w:val="24"/>
          <w:szCs w:val="24"/>
        </w:rPr>
        <w:t>.</w:t>
      </w:r>
    </w:p>
    <w:p w14:paraId="4435D843" w14:textId="77777777" w:rsidR="00D817B1" w:rsidRDefault="00D817B1" w:rsidP="00D637C8">
      <w:pPr>
        <w:spacing w:after="0" w:line="276" w:lineRule="auto"/>
        <w:jc w:val="both"/>
        <w:rPr>
          <w:rFonts w:ascii="Times New Roman" w:eastAsia="Arial" w:hAnsi="Times New Roman" w:cs="Times New Roman"/>
          <w:bCs/>
          <w:sz w:val="24"/>
          <w:szCs w:val="24"/>
        </w:rPr>
      </w:pPr>
    </w:p>
    <w:p w14:paraId="65A6E58E" w14:textId="2F4D62EA" w:rsidR="00CD246D" w:rsidRDefault="00CD246D" w:rsidP="00D637C8">
      <w:pPr>
        <w:spacing w:after="0" w:line="276" w:lineRule="auto"/>
        <w:jc w:val="both"/>
        <w:rPr>
          <w:rFonts w:ascii="Times New Roman" w:eastAsia="Arial" w:hAnsi="Times New Roman" w:cs="Times New Roman"/>
          <w:bCs/>
          <w:sz w:val="24"/>
          <w:szCs w:val="24"/>
        </w:rPr>
      </w:pPr>
      <w:r w:rsidRPr="00CD246D">
        <w:rPr>
          <w:rFonts w:ascii="Times New Roman" w:eastAsia="Arial" w:hAnsi="Times New Roman" w:cs="Times New Roman"/>
          <w:bCs/>
          <w:sz w:val="24"/>
          <w:szCs w:val="24"/>
        </w:rPr>
        <w:t xml:space="preserve">BRASIL. Banco Central do Brasil. </w:t>
      </w:r>
      <w:r w:rsidRPr="00C91CAD">
        <w:rPr>
          <w:rFonts w:ascii="Times New Roman" w:eastAsia="Arial" w:hAnsi="Times New Roman" w:cs="Times New Roman"/>
          <w:b/>
          <w:sz w:val="24"/>
          <w:szCs w:val="24"/>
        </w:rPr>
        <w:t>Evolução de meios digitais para realização de transações de pagamento</w:t>
      </w:r>
      <w:r w:rsidRPr="00CD246D">
        <w:rPr>
          <w:rFonts w:ascii="Times New Roman" w:eastAsia="Arial" w:hAnsi="Times New Roman" w:cs="Times New Roman"/>
          <w:bCs/>
          <w:sz w:val="24"/>
          <w:szCs w:val="24"/>
        </w:rPr>
        <w:t>. 2022.</w:t>
      </w:r>
      <w:r w:rsidR="00C91CAD">
        <w:rPr>
          <w:rFonts w:ascii="Times New Roman" w:eastAsia="Arial" w:hAnsi="Times New Roman" w:cs="Times New Roman"/>
          <w:bCs/>
          <w:sz w:val="24"/>
          <w:szCs w:val="24"/>
        </w:rPr>
        <w:t xml:space="preserve"> Disponível em: </w:t>
      </w:r>
      <w:hyperlink r:id="rId11" w:history="1">
        <w:r w:rsidR="00C91CAD" w:rsidRPr="00020441">
          <w:rPr>
            <w:rStyle w:val="Hyperlink"/>
            <w:rFonts w:ascii="Times New Roman" w:eastAsia="Arial" w:hAnsi="Times New Roman" w:cs="Times New Roman"/>
            <w:bCs/>
            <w:sz w:val="24"/>
            <w:szCs w:val="24"/>
          </w:rPr>
          <w:t>https://www.bcb.gov.br/content/publicacoes/boxe_relatorio_de_economia_bancaria/reb2022b7p.pdf</w:t>
        </w:r>
      </w:hyperlink>
      <w:r w:rsidR="00C91CAD">
        <w:rPr>
          <w:rFonts w:ascii="Times New Roman" w:eastAsia="Arial" w:hAnsi="Times New Roman" w:cs="Times New Roman"/>
          <w:bCs/>
          <w:sz w:val="24"/>
          <w:szCs w:val="24"/>
        </w:rPr>
        <w:t>. Acesso em 20 de abril de 2025.</w:t>
      </w:r>
    </w:p>
    <w:p w14:paraId="738E0D3A" w14:textId="05300486" w:rsidR="00F843B7" w:rsidRDefault="00F843B7"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B</w:t>
      </w:r>
      <w:r w:rsidR="00C61B0C">
        <w:rPr>
          <w:rFonts w:ascii="Times New Roman" w:eastAsia="Arial" w:hAnsi="Times New Roman" w:cs="Times New Roman"/>
          <w:bCs/>
          <w:sz w:val="24"/>
          <w:szCs w:val="24"/>
        </w:rPr>
        <w:t>anco Central</w:t>
      </w:r>
      <w:r>
        <w:rPr>
          <w:rFonts w:ascii="Times New Roman" w:eastAsia="Arial" w:hAnsi="Times New Roman" w:cs="Times New Roman"/>
          <w:bCs/>
          <w:sz w:val="24"/>
          <w:szCs w:val="24"/>
        </w:rPr>
        <w:t>, 2022</w:t>
      </w:r>
      <w:r w:rsidR="004E0219">
        <w:rPr>
          <w:rFonts w:ascii="Times New Roman" w:eastAsia="Arial" w:hAnsi="Times New Roman" w:cs="Times New Roman"/>
          <w:bCs/>
          <w:sz w:val="24"/>
          <w:szCs w:val="24"/>
        </w:rPr>
        <w:t>.</w:t>
      </w:r>
    </w:p>
    <w:p w14:paraId="701EB9EC" w14:textId="77777777" w:rsidR="00CD246D" w:rsidRDefault="00CD246D" w:rsidP="00D637C8">
      <w:pPr>
        <w:spacing w:after="0" w:line="276" w:lineRule="auto"/>
        <w:jc w:val="both"/>
        <w:rPr>
          <w:rFonts w:ascii="Times New Roman" w:eastAsia="Arial" w:hAnsi="Times New Roman" w:cs="Times New Roman"/>
          <w:bCs/>
          <w:sz w:val="24"/>
          <w:szCs w:val="24"/>
        </w:rPr>
      </w:pPr>
    </w:p>
    <w:p w14:paraId="0C08083F" w14:textId="2FB3DE02" w:rsidR="00F71E54" w:rsidRDefault="00F71E54" w:rsidP="00D637C8">
      <w:pPr>
        <w:spacing w:after="0" w:line="276" w:lineRule="auto"/>
        <w:jc w:val="both"/>
        <w:rPr>
          <w:rFonts w:ascii="Times New Roman" w:eastAsia="Arial" w:hAnsi="Times New Roman" w:cs="Times New Roman"/>
          <w:bCs/>
          <w:sz w:val="24"/>
          <w:szCs w:val="24"/>
        </w:rPr>
      </w:pPr>
      <w:r w:rsidRPr="00F71E54">
        <w:rPr>
          <w:rFonts w:ascii="Times New Roman" w:eastAsia="Arial" w:hAnsi="Times New Roman" w:cs="Times New Roman"/>
          <w:bCs/>
          <w:sz w:val="24"/>
          <w:szCs w:val="24"/>
        </w:rPr>
        <w:t xml:space="preserve">BRASIL. Banco Central do Brasil. </w:t>
      </w:r>
      <w:r w:rsidRPr="0075086C">
        <w:rPr>
          <w:rFonts w:ascii="Times New Roman" w:eastAsia="Arial" w:hAnsi="Times New Roman" w:cs="Times New Roman"/>
          <w:b/>
          <w:sz w:val="24"/>
          <w:szCs w:val="24"/>
        </w:rPr>
        <w:t>Fintechs de crédito e bancos digitais</w:t>
      </w:r>
      <w:r w:rsidRPr="00F71E54">
        <w:rPr>
          <w:rFonts w:ascii="Times New Roman" w:eastAsia="Arial" w:hAnsi="Times New Roman" w:cs="Times New Roman"/>
          <w:bCs/>
          <w:sz w:val="24"/>
          <w:szCs w:val="24"/>
        </w:rPr>
        <w:t>. 2020.</w:t>
      </w:r>
      <w:r w:rsidR="00826CDC">
        <w:rPr>
          <w:rFonts w:ascii="Times New Roman" w:eastAsia="Arial" w:hAnsi="Times New Roman" w:cs="Times New Roman"/>
          <w:bCs/>
          <w:sz w:val="24"/>
          <w:szCs w:val="24"/>
        </w:rPr>
        <w:t xml:space="preserve"> Disponível em: </w:t>
      </w:r>
      <w:hyperlink r:id="rId12" w:history="1">
        <w:r w:rsidR="00CD246D" w:rsidRPr="00020441">
          <w:rPr>
            <w:rStyle w:val="Hyperlink"/>
            <w:rFonts w:ascii="Times New Roman" w:eastAsia="Arial" w:hAnsi="Times New Roman" w:cs="Times New Roman"/>
            <w:bCs/>
            <w:sz w:val="24"/>
            <w:szCs w:val="24"/>
          </w:rPr>
          <w:t>https://www.bcb.gov.br/conteudo/relatorioinflacao/estudosespeciais/ee089_fintechs_de_credito_e_bancos_digitais.pdf</w:t>
        </w:r>
      </w:hyperlink>
      <w:r w:rsidR="00826CDC">
        <w:rPr>
          <w:rFonts w:ascii="Times New Roman" w:eastAsia="Arial" w:hAnsi="Times New Roman" w:cs="Times New Roman"/>
          <w:bCs/>
          <w:sz w:val="24"/>
          <w:szCs w:val="24"/>
        </w:rPr>
        <w:t>. Acesso em 20 de abril de 2025.</w:t>
      </w:r>
    </w:p>
    <w:p w14:paraId="06F7F3B3" w14:textId="6922F844" w:rsidR="00F843B7" w:rsidRDefault="00F843B7"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B</w:t>
      </w:r>
      <w:r w:rsidR="00C61B0C">
        <w:rPr>
          <w:rFonts w:ascii="Times New Roman" w:eastAsia="Arial" w:hAnsi="Times New Roman" w:cs="Times New Roman"/>
          <w:bCs/>
          <w:sz w:val="24"/>
          <w:szCs w:val="24"/>
        </w:rPr>
        <w:t>anco Central</w:t>
      </w:r>
      <w:r>
        <w:rPr>
          <w:rFonts w:ascii="Times New Roman" w:eastAsia="Arial" w:hAnsi="Times New Roman" w:cs="Times New Roman"/>
          <w:bCs/>
          <w:sz w:val="24"/>
          <w:szCs w:val="24"/>
        </w:rPr>
        <w:t>, 2020</w:t>
      </w:r>
      <w:r w:rsidR="004E0219">
        <w:rPr>
          <w:rFonts w:ascii="Times New Roman" w:eastAsia="Arial" w:hAnsi="Times New Roman" w:cs="Times New Roman"/>
          <w:bCs/>
          <w:sz w:val="24"/>
          <w:szCs w:val="24"/>
        </w:rPr>
        <w:t>.</w:t>
      </w:r>
    </w:p>
    <w:p w14:paraId="2FB3A03F" w14:textId="77777777" w:rsidR="00F13AF9" w:rsidRDefault="00F13AF9" w:rsidP="00D637C8">
      <w:pPr>
        <w:spacing w:after="0" w:line="276" w:lineRule="auto"/>
        <w:jc w:val="both"/>
        <w:rPr>
          <w:rFonts w:ascii="Times New Roman" w:eastAsia="Arial" w:hAnsi="Times New Roman" w:cs="Times New Roman"/>
          <w:bCs/>
          <w:sz w:val="24"/>
          <w:szCs w:val="24"/>
        </w:rPr>
      </w:pPr>
    </w:p>
    <w:p w14:paraId="30F643CC" w14:textId="5F57A089" w:rsidR="00F13AF9" w:rsidRDefault="00F13AF9" w:rsidP="00D637C8">
      <w:pPr>
        <w:spacing w:after="0" w:line="276" w:lineRule="auto"/>
        <w:jc w:val="both"/>
        <w:rPr>
          <w:rFonts w:ascii="Times New Roman" w:eastAsia="Arial" w:hAnsi="Times New Roman" w:cs="Times New Roman"/>
          <w:bCs/>
          <w:sz w:val="24"/>
          <w:szCs w:val="24"/>
        </w:rPr>
      </w:pPr>
      <w:r w:rsidRPr="00F13AF9">
        <w:rPr>
          <w:rFonts w:ascii="Times New Roman" w:eastAsia="Arial" w:hAnsi="Times New Roman" w:cs="Times New Roman"/>
          <w:bCs/>
          <w:sz w:val="24"/>
          <w:szCs w:val="24"/>
        </w:rPr>
        <w:t xml:space="preserve">BRASIL. Banco Central do Brasil. </w:t>
      </w:r>
      <w:r w:rsidRPr="007D0F21">
        <w:rPr>
          <w:rFonts w:ascii="Times New Roman" w:eastAsia="Arial" w:hAnsi="Times New Roman" w:cs="Times New Roman"/>
          <w:b/>
          <w:sz w:val="24"/>
          <w:szCs w:val="24"/>
        </w:rPr>
        <w:t>Instituições de pagamento e seus modelos de negócio</w:t>
      </w:r>
      <w:r w:rsidRPr="00F13AF9">
        <w:rPr>
          <w:rFonts w:ascii="Times New Roman" w:eastAsia="Arial" w:hAnsi="Times New Roman" w:cs="Times New Roman"/>
          <w:bCs/>
          <w:sz w:val="24"/>
          <w:szCs w:val="24"/>
        </w:rPr>
        <w:t>. 2019.</w:t>
      </w:r>
      <w:r w:rsidR="007D0F21">
        <w:rPr>
          <w:rFonts w:ascii="Times New Roman" w:eastAsia="Arial" w:hAnsi="Times New Roman" w:cs="Times New Roman"/>
          <w:bCs/>
          <w:sz w:val="24"/>
          <w:szCs w:val="24"/>
        </w:rPr>
        <w:t xml:space="preserve"> Disponível em: </w:t>
      </w:r>
      <w:hyperlink r:id="rId13" w:history="1">
        <w:r w:rsidR="007D0F21" w:rsidRPr="00020441">
          <w:rPr>
            <w:rStyle w:val="Hyperlink"/>
            <w:rFonts w:ascii="Times New Roman" w:eastAsia="Arial" w:hAnsi="Times New Roman" w:cs="Times New Roman"/>
            <w:bCs/>
            <w:sz w:val="24"/>
            <w:szCs w:val="24"/>
          </w:rPr>
          <w:t>https://cdn-www.bcb.gov.br/conteudo/relatorioinflacao/EstudosEspeciais/EE088_Instituicoes_de_pagamento_e_seus_modelos_de_negocio.pdf</w:t>
        </w:r>
      </w:hyperlink>
      <w:r w:rsidR="007D0F21">
        <w:rPr>
          <w:rFonts w:ascii="Times New Roman" w:eastAsia="Arial" w:hAnsi="Times New Roman" w:cs="Times New Roman"/>
          <w:bCs/>
          <w:sz w:val="24"/>
          <w:szCs w:val="24"/>
        </w:rPr>
        <w:t>. Acesso em 20 de abril de 2025.</w:t>
      </w:r>
    </w:p>
    <w:p w14:paraId="64FD49DE" w14:textId="7FFA7538" w:rsidR="00F843B7" w:rsidRPr="00FA6F84" w:rsidRDefault="00F843B7"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B</w:t>
      </w:r>
      <w:r w:rsidR="00C61B0C">
        <w:rPr>
          <w:rFonts w:ascii="Times New Roman" w:eastAsia="Arial" w:hAnsi="Times New Roman" w:cs="Times New Roman"/>
          <w:bCs/>
          <w:sz w:val="24"/>
          <w:szCs w:val="24"/>
        </w:rPr>
        <w:t>anco Central</w:t>
      </w:r>
      <w:r>
        <w:rPr>
          <w:rFonts w:ascii="Times New Roman" w:eastAsia="Arial" w:hAnsi="Times New Roman" w:cs="Times New Roman"/>
          <w:bCs/>
          <w:sz w:val="24"/>
          <w:szCs w:val="24"/>
        </w:rPr>
        <w:t>, 2019</w:t>
      </w:r>
      <w:r w:rsidR="004E0219">
        <w:rPr>
          <w:rFonts w:ascii="Times New Roman" w:eastAsia="Arial" w:hAnsi="Times New Roman" w:cs="Times New Roman"/>
          <w:bCs/>
          <w:sz w:val="24"/>
          <w:szCs w:val="24"/>
        </w:rPr>
        <w:t>.</w:t>
      </w:r>
    </w:p>
    <w:p w14:paraId="560A1FF8" w14:textId="77777777" w:rsidR="00FA6F84" w:rsidRDefault="00FA6F84" w:rsidP="00D637C8">
      <w:pPr>
        <w:spacing w:after="0" w:line="276" w:lineRule="auto"/>
        <w:jc w:val="both"/>
        <w:rPr>
          <w:rFonts w:ascii="Times New Roman" w:eastAsia="Arial" w:hAnsi="Times New Roman" w:cs="Times New Roman"/>
          <w:bCs/>
          <w:sz w:val="24"/>
          <w:szCs w:val="24"/>
        </w:rPr>
      </w:pPr>
    </w:p>
    <w:p w14:paraId="05C97DBD" w14:textId="79F9BF39" w:rsidR="008A7972" w:rsidRDefault="0075086C" w:rsidP="00D637C8">
      <w:pPr>
        <w:spacing w:after="0" w:line="276" w:lineRule="auto"/>
        <w:jc w:val="both"/>
        <w:rPr>
          <w:rFonts w:ascii="Times New Roman" w:eastAsia="Arial" w:hAnsi="Times New Roman" w:cs="Times New Roman"/>
          <w:bCs/>
          <w:sz w:val="24"/>
          <w:szCs w:val="24"/>
        </w:rPr>
      </w:pPr>
      <w:r w:rsidRPr="00F71E54">
        <w:rPr>
          <w:rFonts w:ascii="Times New Roman" w:eastAsia="Arial" w:hAnsi="Times New Roman" w:cs="Times New Roman"/>
          <w:bCs/>
          <w:sz w:val="24"/>
          <w:szCs w:val="24"/>
        </w:rPr>
        <w:t>BRASIL. Banco Central do Brasil</w:t>
      </w:r>
      <w:r w:rsidR="008A7972" w:rsidRPr="008A7972">
        <w:rPr>
          <w:rFonts w:ascii="Times New Roman" w:eastAsia="Arial" w:hAnsi="Times New Roman" w:cs="Times New Roman"/>
          <w:bCs/>
          <w:sz w:val="24"/>
          <w:szCs w:val="24"/>
        </w:rPr>
        <w:t xml:space="preserve">. </w:t>
      </w:r>
      <w:r w:rsidR="008A7972" w:rsidRPr="008A7972">
        <w:rPr>
          <w:rFonts w:ascii="Times New Roman" w:eastAsia="Arial" w:hAnsi="Times New Roman" w:cs="Times New Roman"/>
          <w:b/>
          <w:sz w:val="24"/>
          <w:szCs w:val="24"/>
        </w:rPr>
        <w:t>Sistema de Pagamentos Brasileiro (SPB).</w:t>
      </w:r>
      <w:r w:rsidR="008A7972" w:rsidRPr="008A7972">
        <w:rPr>
          <w:rFonts w:ascii="Times New Roman" w:eastAsia="Arial" w:hAnsi="Times New Roman" w:cs="Times New Roman"/>
          <w:bCs/>
          <w:sz w:val="24"/>
          <w:szCs w:val="24"/>
        </w:rPr>
        <w:t xml:space="preserve"> Disponível em:</w:t>
      </w:r>
      <w:hyperlink r:id="rId14" w:history="1">
        <w:r w:rsidR="008A7972" w:rsidRPr="008A7972">
          <w:rPr>
            <w:rStyle w:val="Hyperlink"/>
            <w:rFonts w:ascii="Times New Roman" w:eastAsia="Arial" w:hAnsi="Times New Roman" w:cs="Times New Roman"/>
            <w:bCs/>
            <w:sz w:val="24"/>
            <w:szCs w:val="24"/>
          </w:rPr>
          <w:t xml:space="preserve"> https://www.bcb.gov.br/estabilidadefinanceira/spb</w:t>
        </w:r>
      </w:hyperlink>
      <w:r w:rsidR="008A7972" w:rsidRPr="008A7972">
        <w:rPr>
          <w:rFonts w:ascii="Times New Roman" w:eastAsia="Arial" w:hAnsi="Times New Roman" w:cs="Times New Roman"/>
          <w:bCs/>
          <w:sz w:val="24"/>
          <w:szCs w:val="24"/>
        </w:rPr>
        <w:t>. Acesso em: 5 abr. 2025.</w:t>
      </w:r>
    </w:p>
    <w:p w14:paraId="2EEB2B85" w14:textId="579AE210" w:rsidR="00F843B7" w:rsidRDefault="00F843B7"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B</w:t>
      </w:r>
      <w:r w:rsidR="00C61B0C">
        <w:rPr>
          <w:rFonts w:ascii="Times New Roman" w:eastAsia="Arial" w:hAnsi="Times New Roman" w:cs="Times New Roman"/>
          <w:bCs/>
          <w:sz w:val="24"/>
          <w:szCs w:val="24"/>
        </w:rPr>
        <w:t>anco Central</w:t>
      </w:r>
      <w:r>
        <w:rPr>
          <w:rFonts w:ascii="Times New Roman" w:eastAsia="Arial" w:hAnsi="Times New Roman" w:cs="Times New Roman"/>
          <w:bCs/>
          <w:sz w:val="24"/>
          <w:szCs w:val="24"/>
        </w:rPr>
        <w:t>, 2025</w:t>
      </w:r>
      <w:r w:rsidR="004E0219">
        <w:rPr>
          <w:rFonts w:ascii="Times New Roman" w:eastAsia="Arial" w:hAnsi="Times New Roman" w:cs="Times New Roman"/>
          <w:bCs/>
          <w:sz w:val="24"/>
          <w:szCs w:val="24"/>
        </w:rPr>
        <w:t>.</w:t>
      </w:r>
    </w:p>
    <w:p w14:paraId="49C9EDDB" w14:textId="77777777" w:rsidR="001E6B8B" w:rsidRDefault="001E6B8B" w:rsidP="00D637C8">
      <w:pPr>
        <w:spacing w:after="0" w:line="276" w:lineRule="auto"/>
        <w:jc w:val="both"/>
        <w:rPr>
          <w:rFonts w:ascii="Times New Roman" w:eastAsia="Arial" w:hAnsi="Times New Roman" w:cs="Times New Roman"/>
          <w:bCs/>
          <w:sz w:val="24"/>
          <w:szCs w:val="24"/>
        </w:rPr>
      </w:pPr>
    </w:p>
    <w:p w14:paraId="7D789559" w14:textId="76B4A0C3" w:rsidR="001E6B8B" w:rsidRDefault="001E6B8B" w:rsidP="00D637C8">
      <w:pPr>
        <w:spacing w:after="0" w:line="276" w:lineRule="auto"/>
        <w:jc w:val="both"/>
        <w:rPr>
          <w:rFonts w:ascii="Times New Roman" w:eastAsia="Arial" w:hAnsi="Times New Roman" w:cs="Times New Roman"/>
          <w:bCs/>
          <w:sz w:val="24"/>
          <w:szCs w:val="24"/>
        </w:rPr>
      </w:pPr>
      <w:r w:rsidRPr="001E6B8B">
        <w:rPr>
          <w:rFonts w:ascii="Times New Roman" w:eastAsia="Arial" w:hAnsi="Times New Roman" w:cs="Times New Roman"/>
          <w:bCs/>
          <w:sz w:val="24"/>
          <w:szCs w:val="24"/>
        </w:rPr>
        <w:t xml:space="preserve">BRASIL. </w:t>
      </w:r>
      <w:r w:rsidRPr="001E6B8B">
        <w:rPr>
          <w:rFonts w:ascii="Times New Roman" w:eastAsia="Arial" w:hAnsi="Times New Roman" w:cs="Times New Roman"/>
          <w:b/>
          <w:bCs/>
          <w:sz w:val="24"/>
          <w:szCs w:val="24"/>
        </w:rPr>
        <w:t>Lei nº 12.865, de 9 de outubro de 2013</w:t>
      </w:r>
      <w:r w:rsidRPr="001E6B8B">
        <w:rPr>
          <w:rFonts w:ascii="Times New Roman" w:eastAsia="Arial" w:hAnsi="Times New Roman" w:cs="Times New Roman"/>
          <w:bCs/>
          <w:sz w:val="24"/>
          <w:szCs w:val="24"/>
        </w:rPr>
        <w:t xml:space="preserve">. Dispõe sobre o arranjo e as instituições de pagamento integrantes do Sistema de Pagamentos Brasileiro (SPB), e dá outras providências. </w:t>
      </w:r>
      <w:r w:rsidRPr="001E6B8B">
        <w:rPr>
          <w:rFonts w:ascii="Times New Roman" w:eastAsia="Arial" w:hAnsi="Times New Roman" w:cs="Times New Roman"/>
          <w:bCs/>
          <w:i/>
          <w:iCs/>
          <w:sz w:val="24"/>
          <w:szCs w:val="24"/>
        </w:rPr>
        <w:t>Diário Oficial da União: seção 1</w:t>
      </w:r>
      <w:r w:rsidRPr="001E6B8B">
        <w:rPr>
          <w:rFonts w:ascii="Times New Roman" w:eastAsia="Arial" w:hAnsi="Times New Roman" w:cs="Times New Roman"/>
          <w:bCs/>
          <w:sz w:val="24"/>
          <w:szCs w:val="24"/>
        </w:rPr>
        <w:t>, Brasília, DF, 10 out. 2013.</w:t>
      </w:r>
    </w:p>
    <w:p w14:paraId="12E2BD4A" w14:textId="53221808" w:rsidR="001E6B8B" w:rsidRDefault="001E6B8B"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Lei 12.86</w:t>
      </w:r>
      <w:r w:rsidR="00A474F7">
        <w:rPr>
          <w:rFonts w:ascii="Times New Roman" w:eastAsia="Arial" w:hAnsi="Times New Roman" w:cs="Times New Roman"/>
          <w:bCs/>
          <w:sz w:val="24"/>
          <w:szCs w:val="24"/>
        </w:rPr>
        <w:t>5/2013.</w:t>
      </w:r>
    </w:p>
    <w:p w14:paraId="3899D3BE" w14:textId="77777777" w:rsidR="000E6AE8" w:rsidRPr="00D817B1" w:rsidRDefault="000E6AE8" w:rsidP="000E6AE8">
      <w:pPr>
        <w:spacing w:after="0" w:line="276" w:lineRule="auto"/>
        <w:jc w:val="both"/>
        <w:rPr>
          <w:rFonts w:ascii="Times New Roman" w:eastAsia="Arial" w:hAnsi="Times New Roman" w:cs="Times New Roman"/>
          <w:bCs/>
          <w:sz w:val="24"/>
          <w:szCs w:val="24"/>
          <w:highlight w:val="yellow"/>
        </w:rPr>
      </w:pPr>
    </w:p>
    <w:p w14:paraId="0D6ED24B" w14:textId="200F8065" w:rsidR="000E6AE8" w:rsidRPr="00D278F1" w:rsidRDefault="000E6AE8" w:rsidP="000E6AE8">
      <w:pPr>
        <w:spacing w:after="0" w:line="276" w:lineRule="auto"/>
        <w:jc w:val="both"/>
        <w:rPr>
          <w:rFonts w:ascii="Times New Roman" w:eastAsia="Arial" w:hAnsi="Times New Roman" w:cs="Times New Roman"/>
          <w:bCs/>
          <w:sz w:val="24"/>
          <w:szCs w:val="24"/>
        </w:rPr>
      </w:pPr>
      <w:r w:rsidRPr="00D278F1">
        <w:rPr>
          <w:rFonts w:ascii="Times New Roman" w:eastAsia="Arial" w:hAnsi="Times New Roman" w:cs="Times New Roman"/>
          <w:bCs/>
          <w:sz w:val="24"/>
          <w:szCs w:val="24"/>
        </w:rPr>
        <w:t>CLEMENTE, A.; KÜHL, M.R</w:t>
      </w:r>
      <w:r w:rsidRPr="00B14222">
        <w:rPr>
          <w:rFonts w:ascii="Times New Roman" w:eastAsia="Arial" w:hAnsi="Times New Roman" w:cs="Times New Roman"/>
          <w:b/>
          <w:sz w:val="24"/>
          <w:szCs w:val="24"/>
        </w:rPr>
        <w:t xml:space="preserve">. Intermediação Financeira no Brasil: </w:t>
      </w:r>
      <w:r w:rsidR="00B14222" w:rsidRPr="00B14222">
        <w:rPr>
          <w:rFonts w:ascii="Times New Roman" w:eastAsia="Arial" w:hAnsi="Times New Roman" w:cs="Times New Roman"/>
          <w:b/>
          <w:sz w:val="24"/>
          <w:szCs w:val="24"/>
        </w:rPr>
        <w:t>Influência</w:t>
      </w:r>
      <w:r w:rsidRPr="00B14222">
        <w:rPr>
          <w:rFonts w:ascii="Times New Roman" w:eastAsia="Arial" w:hAnsi="Times New Roman" w:cs="Times New Roman"/>
          <w:b/>
          <w:sz w:val="24"/>
          <w:szCs w:val="24"/>
        </w:rPr>
        <w:t xml:space="preserve"> da Taxa de Captação sobre a Taxa de Aplicação</w:t>
      </w:r>
      <w:r w:rsidRPr="00D278F1">
        <w:rPr>
          <w:rFonts w:ascii="Times New Roman" w:eastAsia="Arial" w:hAnsi="Times New Roman" w:cs="Times New Roman"/>
          <w:bCs/>
          <w:sz w:val="24"/>
          <w:szCs w:val="24"/>
        </w:rPr>
        <w:t>. In: Congresso USP de Controladoria e Contabilidade, 6., 2006. Anais.... São Paulo, 2006.</w:t>
      </w:r>
    </w:p>
    <w:p w14:paraId="511D092F" w14:textId="2C248583" w:rsidR="000E6AE8" w:rsidRDefault="000E6AE8" w:rsidP="000E6AE8">
      <w:pPr>
        <w:spacing w:after="0" w:line="276" w:lineRule="auto"/>
        <w:jc w:val="both"/>
        <w:rPr>
          <w:rFonts w:ascii="Times New Roman" w:eastAsia="Arial" w:hAnsi="Times New Roman" w:cs="Times New Roman"/>
          <w:bCs/>
          <w:sz w:val="24"/>
          <w:szCs w:val="24"/>
        </w:rPr>
      </w:pPr>
      <w:r w:rsidRPr="00D278F1">
        <w:rPr>
          <w:rFonts w:ascii="Times New Roman" w:eastAsia="Arial" w:hAnsi="Times New Roman" w:cs="Times New Roman"/>
          <w:bCs/>
          <w:sz w:val="24"/>
          <w:szCs w:val="24"/>
        </w:rPr>
        <w:t>Citação: C</w:t>
      </w:r>
      <w:r w:rsidR="00D278F1">
        <w:rPr>
          <w:rFonts w:ascii="Times New Roman" w:eastAsia="Arial" w:hAnsi="Times New Roman" w:cs="Times New Roman"/>
          <w:bCs/>
          <w:sz w:val="24"/>
          <w:szCs w:val="24"/>
        </w:rPr>
        <w:t>lemente e</w:t>
      </w:r>
      <w:r w:rsidR="00C4679A" w:rsidRPr="00D278F1">
        <w:rPr>
          <w:rFonts w:ascii="Times New Roman" w:eastAsia="Arial" w:hAnsi="Times New Roman" w:cs="Times New Roman"/>
          <w:bCs/>
          <w:sz w:val="24"/>
          <w:szCs w:val="24"/>
        </w:rPr>
        <w:t xml:space="preserve"> </w:t>
      </w:r>
      <w:proofErr w:type="spellStart"/>
      <w:r w:rsidR="00B14222" w:rsidRPr="00B14222">
        <w:rPr>
          <w:rFonts w:ascii="Times New Roman" w:eastAsia="Arial" w:hAnsi="Times New Roman" w:cs="Times New Roman"/>
          <w:sz w:val="24"/>
          <w:szCs w:val="24"/>
        </w:rPr>
        <w:t>Kühl</w:t>
      </w:r>
      <w:proofErr w:type="spellEnd"/>
      <w:r w:rsidR="00C4679A" w:rsidRPr="00D278F1">
        <w:rPr>
          <w:rFonts w:ascii="Times New Roman" w:eastAsia="Arial" w:hAnsi="Times New Roman" w:cs="Times New Roman"/>
          <w:bCs/>
          <w:sz w:val="24"/>
          <w:szCs w:val="24"/>
        </w:rPr>
        <w:t>, 2006</w:t>
      </w:r>
    </w:p>
    <w:p w14:paraId="651F0526" w14:textId="77777777" w:rsidR="00FA6F84" w:rsidRDefault="00FA6F84" w:rsidP="00D637C8">
      <w:pPr>
        <w:spacing w:after="0" w:line="276" w:lineRule="auto"/>
        <w:jc w:val="both"/>
        <w:rPr>
          <w:rFonts w:ascii="Times New Roman" w:eastAsia="Arial" w:hAnsi="Times New Roman" w:cs="Times New Roman"/>
          <w:bCs/>
          <w:sz w:val="24"/>
          <w:szCs w:val="24"/>
        </w:rPr>
      </w:pPr>
    </w:p>
    <w:p w14:paraId="3BEB70F2" w14:textId="773D9D92" w:rsidR="00FA6F84" w:rsidRDefault="00FA6F84" w:rsidP="00D637C8">
      <w:pPr>
        <w:spacing w:after="0" w:line="276" w:lineRule="auto"/>
        <w:jc w:val="both"/>
        <w:rPr>
          <w:rFonts w:ascii="Times New Roman" w:eastAsia="Arial" w:hAnsi="Times New Roman" w:cs="Times New Roman"/>
          <w:bCs/>
          <w:sz w:val="24"/>
          <w:szCs w:val="24"/>
        </w:rPr>
      </w:pPr>
      <w:r w:rsidRPr="008A7972">
        <w:rPr>
          <w:rFonts w:ascii="Times New Roman" w:eastAsia="Arial" w:hAnsi="Times New Roman" w:cs="Times New Roman"/>
          <w:bCs/>
          <w:sz w:val="24"/>
          <w:szCs w:val="24"/>
        </w:rPr>
        <w:t xml:space="preserve">COHEN, Gabriel Schvartzman. </w:t>
      </w:r>
      <w:r w:rsidRPr="008A7972">
        <w:rPr>
          <w:rFonts w:ascii="Times New Roman" w:eastAsia="Arial" w:hAnsi="Times New Roman" w:cs="Times New Roman"/>
          <w:b/>
          <w:sz w:val="24"/>
          <w:szCs w:val="24"/>
        </w:rPr>
        <w:t>Direito dos Meios de Pagamento.</w:t>
      </w:r>
      <w:r w:rsidRPr="008A7972">
        <w:rPr>
          <w:rFonts w:ascii="Times New Roman" w:eastAsia="Arial" w:hAnsi="Times New Roman" w:cs="Times New Roman"/>
          <w:bCs/>
          <w:sz w:val="24"/>
          <w:szCs w:val="24"/>
        </w:rPr>
        <w:t xml:space="preserve"> 1</w:t>
      </w:r>
      <w:r w:rsidR="00735449">
        <w:rPr>
          <w:rFonts w:ascii="Times New Roman" w:eastAsia="Arial" w:hAnsi="Times New Roman" w:cs="Times New Roman"/>
          <w:bCs/>
          <w:sz w:val="24"/>
          <w:szCs w:val="24"/>
        </w:rPr>
        <w:t>.</w:t>
      </w:r>
      <w:r w:rsidRPr="008A7972">
        <w:rPr>
          <w:rFonts w:ascii="Times New Roman" w:eastAsia="Arial" w:hAnsi="Times New Roman" w:cs="Times New Roman"/>
          <w:bCs/>
          <w:sz w:val="24"/>
          <w:szCs w:val="24"/>
        </w:rPr>
        <w:t xml:space="preserve"> ed. São Paulo: Quartier </w:t>
      </w:r>
      <w:proofErr w:type="spellStart"/>
      <w:r w:rsidRPr="008A7972">
        <w:rPr>
          <w:rFonts w:ascii="Times New Roman" w:eastAsia="Arial" w:hAnsi="Times New Roman" w:cs="Times New Roman"/>
          <w:bCs/>
          <w:sz w:val="24"/>
          <w:szCs w:val="24"/>
        </w:rPr>
        <w:t>Latin</w:t>
      </w:r>
      <w:proofErr w:type="spellEnd"/>
      <w:r w:rsidRPr="008A7972">
        <w:rPr>
          <w:rFonts w:ascii="Times New Roman" w:eastAsia="Arial" w:hAnsi="Times New Roman" w:cs="Times New Roman"/>
          <w:bCs/>
          <w:sz w:val="24"/>
          <w:szCs w:val="24"/>
        </w:rPr>
        <w:t>, 2023.</w:t>
      </w:r>
    </w:p>
    <w:p w14:paraId="0BDEF172" w14:textId="0D49F424" w:rsidR="00962490" w:rsidRDefault="00F843B7"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C</w:t>
      </w:r>
      <w:r w:rsidR="00962490">
        <w:rPr>
          <w:rFonts w:ascii="Times New Roman" w:eastAsia="Arial" w:hAnsi="Times New Roman" w:cs="Times New Roman"/>
          <w:bCs/>
          <w:sz w:val="24"/>
          <w:szCs w:val="24"/>
        </w:rPr>
        <w:t>ohen</w:t>
      </w:r>
      <w:r>
        <w:rPr>
          <w:rFonts w:ascii="Times New Roman" w:eastAsia="Arial" w:hAnsi="Times New Roman" w:cs="Times New Roman"/>
          <w:bCs/>
          <w:sz w:val="24"/>
          <w:szCs w:val="24"/>
        </w:rPr>
        <w:t>, 20</w:t>
      </w:r>
      <w:r w:rsidR="000F7CF4">
        <w:rPr>
          <w:rFonts w:ascii="Times New Roman" w:eastAsia="Arial" w:hAnsi="Times New Roman" w:cs="Times New Roman"/>
          <w:bCs/>
          <w:sz w:val="24"/>
          <w:szCs w:val="24"/>
        </w:rPr>
        <w:t>23</w:t>
      </w:r>
      <w:r w:rsidR="004E0219">
        <w:rPr>
          <w:rFonts w:ascii="Times New Roman" w:eastAsia="Arial" w:hAnsi="Times New Roman" w:cs="Times New Roman"/>
          <w:bCs/>
          <w:sz w:val="24"/>
          <w:szCs w:val="24"/>
        </w:rPr>
        <w:t>.</w:t>
      </w:r>
    </w:p>
    <w:p w14:paraId="35BE36A5" w14:textId="77777777" w:rsidR="00962490" w:rsidRDefault="00962490" w:rsidP="00D637C8">
      <w:pPr>
        <w:spacing w:after="0" w:line="276" w:lineRule="auto"/>
        <w:jc w:val="both"/>
        <w:rPr>
          <w:rFonts w:ascii="Times New Roman" w:eastAsia="Arial" w:hAnsi="Times New Roman" w:cs="Times New Roman"/>
          <w:bCs/>
          <w:sz w:val="24"/>
          <w:szCs w:val="24"/>
        </w:rPr>
      </w:pPr>
    </w:p>
    <w:p w14:paraId="74FC4149" w14:textId="4F7875DD" w:rsidR="00962490" w:rsidRDefault="00962490"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 xml:space="preserve">FORTUNA, </w:t>
      </w:r>
      <w:r w:rsidR="00735449">
        <w:rPr>
          <w:rFonts w:ascii="Times New Roman" w:eastAsia="Arial" w:hAnsi="Times New Roman" w:cs="Times New Roman"/>
          <w:bCs/>
          <w:sz w:val="24"/>
          <w:szCs w:val="24"/>
        </w:rPr>
        <w:t xml:space="preserve">Eduardo. Mercado Financeiro: Produtos e Serviços. 22. ed. </w:t>
      </w:r>
      <w:r w:rsidR="00A84520">
        <w:rPr>
          <w:rFonts w:ascii="Times New Roman" w:eastAsia="Arial" w:hAnsi="Times New Roman" w:cs="Times New Roman"/>
          <w:bCs/>
          <w:sz w:val="24"/>
          <w:szCs w:val="24"/>
        </w:rPr>
        <w:t>Rio de Janeiro</w:t>
      </w:r>
      <w:r w:rsidR="00735449">
        <w:rPr>
          <w:rFonts w:ascii="Times New Roman" w:eastAsia="Arial" w:hAnsi="Times New Roman" w:cs="Times New Roman"/>
          <w:bCs/>
          <w:sz w:val="24"/>
          <w:szCs w:val="24"/>
        </w:rPr>
        <w:t xml:space="preserve">: </w:t>
      </w:r>
      <w:proofErr w:type="spellStart"/>
      <w:r w:rsidR="00A84520" w:rsidRPr="00A84520">
        <w:rPr>
          <w:rFonts w:ascii="Times New Roman" w:eastAsia="Arial" w:hAnsi="Times New Roman" w:cs="Times New Roman"/>
          <w:bCs/>
          <w:sz w:val="24"/>
          <w:szCs w:val="24"/>
        </w:rPr>
        <w:t>Qualitymark</w:t>
      </w:r>
      <w:proofErr w:type="spellEnd"/>
      <w:r w:rsidR="00A84520">
        <w:rPr>
          <w:rFonts w:ascii="Times New Roman" w:eastAsia="Arial" w:hAnsi="Times New Roman" w:cs="Times New Roman"/>
          <w:bCs/>
          <w:sz w:val="24"/>
          <w:szCs w:val="24"/>
        </w:rPr>
        <w:t>, 2020.</w:t>
      </w:r>
    </w:p>
    <w:p w14:paraId="36F511C4" w14:textId="4D831466" w:rsidR="00A84520" w:rsidRDefault="00A84520"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Fortuna, 2020.</w:t>
      </w:r>
    </w:p>
    <w:p w14:paraId="22462338" w14:textId="77777777" w:rsidR="00347B8D" w:rsidRDefault="00347B8D" w:rsidP="00D637C8">
      <w:pPr>
        <w:spacing w:after="0" w:line="276" w:lineRule="auto"/>
        <w:jc w:val="both"/>
        <w:rPr>
          <w:rFonts w:ascii="Times New Roman" w:eastAsia="Arial" w:hAnsi="Times New Roman" w:cs="Times New Roman"/>
          <w:bCs/>
          <w:sz w:val="24"/>
          <w:szCs w:val="24"/>
        </w:rPr>
      </w:pPr>
    </w:p>
    <w:p w14:paraId="1F65856D" w14:textId="77777777" w:rsidR="00347B8D" w:rsidRDefault="00347B8D" w:rsidP="00347B8D">
      <w:pPr>
        <w:spacing w:after="0" w:line="276" w:lineRule="auto"/>
        <w:jc w:val="both"/>
        <w:rPr>
          <w:rFonts w:ascii="Times New Roman" w:eastAsia="Arial" w:hAnsi="Times New Roman" w:cs="Times New Roman"/>
          <w:bCs/>
          <w:sz w:val="24"/>
          <w:szCs w:val="24"/>
        </w:rPr>
      </w:pPr>
      <w:r w:rsidRPr="00D817B1">
        <w:rPr>
          <w:rFonts w:ascii="Times New Roman" w:eastAsia="Arial" w:hAnsi="Times New Roman" w:cs="Times New Roman"/>
          <w:bCs/>
          <w:sz w:val="24"/>
          <w:szCs w:val="24"/>
        </w:rPr>
        <w:t xml:space="preserve">NETO, Alexandre A. </w:t>
      </w:r>
      <w:r w:rsidRPr="00D817B1">
        <w:rPr>
          <w:rFonts w:ascii="Times New Roman" w:eastAsia="Arial" w:hAnsi="Times New Roman" w:cs="Times New Roman"/>
          <w:b/>
          <w:sz w:val="24"/>
          <w:szCs w:val="24"/>
        </w:rPr>
        <w:t>Mercado Financeiro</w:t>
      </w:r>
      <w:r w:rsidRPr="00D817B1">
        <w:rPr>
          <w:rFonts w:ascii="Times New Roman" w:eastAsia="Arial" w:hAnsi="Times New Roman" w:cs="Times New Roman"/>
          <w:bCs/>
          <w:sz w:val="24"/>
          <w:szCs w:val="24"/>
        </w:rPr>
        <w:t>. 16. ed. Rio de Janeiro: Atlas, 2025.</w:t>
      </w:r>
    </w:p>
    <w:p w14:paraId="668BE1E2" w14:textId="1D254B0B" w:rsidR="00347B8D" w:rsidRDefault="00347B8D"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Assaf Neto, 2025.</w:t>
      </w:r>
    </w:p>
    <w:p w14:paraId="750ED3A1" w14:textId="362239BE" w:rsidR="00347B8D" w:rsidRDefault="00347B8D"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Neto, 2025.</w:t>
      </w:r>
    </w:p>
    <w:p w14:paraId="0853E38B" w14:textId="77777777" w:rsidR="00516EAE" w:rsidRDefault="00516EAE" w:rsidP="00D637C8">
      <w:pPr>
        <w:spacing w:after="0" w:line="276" w:lineRule="auto"/>
        <w:jc w:val="both"/>
        <w:rPr>
          <w:rFonts w:ascii="Times New Roman" w:eastAsia="Arial" w:hAnsi="Times New Roman" w:cs="Times New Roman"/>
          <w:bCs/>
          <w:sz w:val="24"/>
          <w:szCs w:val="24"/>
        </w:rPr>
      </w:pPr>
    </w:p>
    <w:p w14:paraId="43A8219B" w14:textId="7BE76021" w:rsidR="00516EAE" w:rsidRDefault="00516EAE" w:rsidP="00D637C8">
      <w:pPr>
        <w:spacing w:after="0" w:line="276" w:lineRule="auto"/>
        <w:jc w:val="both"/>
        <w:rPr>
          <w:rFonts w:ascii="Times New Roman" w:eastAsia="Arial" w:hAnsi="Times New Roman" w:cs="Times New Roman"/>
          <w:bCs/>
          <w:sz w:val="24"/>
          <w:szCs w:val="24"/>
        </w:rPr>
      </w:pPr>
      <w:r w:rsidRPr="00516EAE">
        <w:rPr>
          <w:rFonts w:ascii="Times New Roman" w:eastAsia="Arial" w:hAnsi="Times New Roman" w:cs="Times New Roman"/>
          <w:bCs/>
          <w:sz w:val="24"/>
          <w:szCs w:val="24"/>
        </w:rPr>
        <w:t xml:space="preserve">PINHEIRO, Juliano L. </w:t>
      </w:r>
      <w:r w:rsidRPr="00516EAE">
        <w:rPr>
          <w:rFonts w:ascii="Times New Roman" w:eastAsia="Arial" w:hAnsi="Times New Roman" w:cs="Times New Roman"/>
          <w:b/>
          <w:sz w:val="24"/>
          <w:szCs w:val="24"/>
        </w:rPr>
        <w:t>Mercado de Capitais</w:t>
      </w:r>
      <w:r w:rsidRPr="00516EAE">
        <w:rPr>
          <w:rFonts w:ascii="Times New Roman" w:eastAsia="Arial" w:hAnsi="Times New Roman" w:cs="Times New Roman"/>
          <w:bCs/>
          <w:sz w:val="24"/>
          <w:szCs w:val="24"/>
        </w:rPr>
        <w:t>. 9. ed. Rio de Janeiro: Atlas, 2019.</w:t>
      </w:r>
    </w:p>
    <w:p w14:paraId="56AD60EC" w14:textId="476C0AD3" w:rsidR="00516EAE" w:rsidRDefault="00516EAE"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Pinheiro, 2019.</w:t>
      </w:r>
    </w:p>
    <w:p w14:paraId="3CE5E298" w14:textId="77777777" w:rsidR="008A7972" w:rsidRPr="008A7972" w:rsidRDefault="008A7972" w:rsidP="00D637C8">
      <w:pPr>
        <w:spacing w:after="0" w:line="276" w:lineRule="auto"/>
        <w:jc w:val="both"/>
        <w:rPr>
          <w:rFonts w:ascii="Times New Roman" w:eastAsia="Arial" w:hAnsi="Times New Roman" w:cs="Times New Roman"/>
          <w:bCs/>
          <w:sz w:val="24"/>
          <w:szCs w:val="24"/>
        </w:rPr>
      </w:pPr>
    </w:p>
    <w:p w14:paraId="1CBE8165" w14:textId="77777777" w:rsidR="008A7972" w:rsidRDefault="008A7972" w:rsidP="00D637C8">
      <w:pPr>
        <w:spacing w:after="0" w:line="276" w:lineRule="auto"/>
        <w:jc w:val="both"/>
        <w:rPr>
          <w:rFonts w:ascii="Times New Roman" w:eastAsia="Arial" w:hAnsi="Times New Roman" w:cs="Times New Roman"/>
          <w:bCs/>
          <w:sz w:val="24"/>
          <w:szCs w:val="24"/>
        </w:rPr>
      </w:pPr>
      <w:r w:rsidRPr="008A7972">
        <w:rPr>
          <w:rFonts w:ascii="Times New Roman" w:eastAsia="Arial" w:hAnsi="Times New Roman" w:cs="Times New Roman"/>
          <w:bCs/>
          <w:sz w:val="24"/>
          <w:szCs w:val="24"/>
        </w:rPr>
        <w:t xml:space="preserve">SALOMÃO NETO, Eduardo. </w:t>
      </w:r>
      <w:r w:rsidRPr="008A7972">
        <w:rPr>
          <w:rFonts w:ascii="Times New Roman" w:eastAsia="Arial" w:hAnsi="Times New Roman" w:cs="Times New Roman"/>
          <w:b/>
          <w:sz w:val="24"/>
          <w:szCs w:val="24"/>
        </w:rPr>
        <w:t>Direito Bancário.</w:t>
      </w:r>
      <w:r w:rsidRPr="008A7972">
        <w:rPr>
          <w:rFonts w:ascii="Times New Roman" w:eastAsia="Arial" w:hAnsi="Times New Roman" w:cs="Times New Roman"/>
          <w:bCs/>
          <w:sz w:val="24"/>
          <w:szCs w:val="24"/>
        </w:rPr>
        <w:t xml:space="preserve"> 3. ed. São Paulo: Trevisan Editora, 2020.</w:t>
      </w:r>
    </w:p>
    <w:p w14:paraId="4884025B" w14:textId="36B74EA2" w:rsidR="000F7CF4" w:rsidRDefault="000F7CF4" w:rsidP="00D637C8">
      <w:pPr>
        <w:spacing w:after="0" w:line="276" w:lineRule="auto"/>
        <w:jc w:val="both"/>
        <w:rPr>
          <w:rFonts w:ascii="Times New Roman" w:eastAsia="Arial" w:hAnsi="Times New Roman" w:cs="Times New Roman"/>
          <w:bCs/>
          <w:sz w:val="24"/>
          <w:szCs w:val="24"/>
        </w:rPr>
      </w:pPr>
      <w:r>
        <w:rPr>
          <w:rFonts w:ascii="Times New Roman" w:eastAsia="Arial" w:hAnsi="Times New Roman" w:cs="Times New Roman"/>
          <w:bCs/>
          <w:sz w:val="24"/>
          <w:szCs w:val="24"/>
        </w:rPr>
        <w:t>Citação: S</w:t>
      </w:r>
      <w:r w:rsidR="00962490">
        <w:rPr>
          <w:rFonts w:ascii="Times New Roman" w:eastAsia="Arial" w:hAnsi="Times New Roman" w:cs="Times New Roman"/>
          <w:bCs/>
          <w:sz w:val="24"/>
          <w:szCs w:val="24"/>
        </w:rPr>
        <w:t>alomão</w:t>
      </w:r>
      <w:r>
        <w:rPr>
          <w:rFonts w:ascii="Times New Roman" w:eastAsia="Arial" w:hAnsi="Times New Roman" w:cs="Times New Roman"/>
          <w:bCs/>
          <w:sz w:val="24"/>
          <w:szCs w:val="24"/>
        </w:rPr>
        <w:t>, 2020</w:t>
      </w:r>
      <w:r w:rsidR="004E0219">
        <w:rPr>
          <w:rFonts w:ascii="Times New Roman" w:eastAsia="Arial" w:hAnsi="Times New Roman" w:cs="Times New Roman"/>
          <w:bCs/>
          <w:sz w:val="24"/>
          <w:szCs w:val="24"/>
        </w:rPr>
        <w:t>.</w:t>
      </w:r>
    </w:p>
    <w:p w14:paraId="648D1F28" w14:textId="77777777" w:rsidR="008A7972" w:rsidRPr="008A7972" w:rsidRDefault="008A7972" w:rsidP="00FA6F84">
      <w:pPr>
        <w:spacing w:after="0" w:line="276" w:lineRule="auto"/>
        <w:jc w:val="both"/>
        <w:rPr>
          <w:rFonts w:ascii="Times New Roman" w:eastAsia="Arial" w:hAnsi="Times New Roman" w:cs="Times New Roman"/>
          <w:bCs/>
          <w:sz w:val="24"/>
          <w:szCs w:val="24"/>
        </w:rPr>
      </w:pPr>
    </w:p>
    <w:p w14:paraId="68DDB9CB" w14:textId="77777777" w:rsidR="008A7972" w:rsidRDefault="008A7972" w:rsidP="008A7972">
      <w:pPr>
        <w:rPr>
          <w:rFonts w:ascii="Times New Roman" w:eastAsia="Arial" w:hAnsi="Times New Roman" w:cs="Times New Roman"/>
          <w:b/>
          <w:sz w:val="24"/>
          <w:szCs w:val="24"/>
        </w:rPr>
      </w:pPr>
    </w:p>
    <w:p w14:paraId="31ED1C70" w14:textId="615B4BE7" w:rsidR="008A7972" w:rsidRDefault="008A7972" w:rsidP="008A7972"/>
    <w:sectPr w:rsidR="008A797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E363" w14:textId="77777777" w:rsidR="00C90418" w:rsidRDefault="00C90418" w:rsidP="0005636A">
      <w:pPr>
        <w:spacing w:after="0" w:line="240" w:lineRule="auto"/>
      </w:pPr>
      <w:r>
        <w:separator/>
      </w:r>
    </w:p>
  </w:endnote>
  <w:endnote w:type="continuationSeparator" w:id="0">
    <w:p w14:paraId="544A9756" w14:textId="77777777" w:rsidR="00C90418" w:rsidRDefault="00C90418" w:rsidP="00056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9A14" w14:textId="77777777" w:rsidR="00C90418" w:rsidRDefault="00C90418" w:rsidP="0005636A">
      <w:pPr>
        <w:spacing w:after="0" w:line="240" w:lineRule="auto"/>
      </w:pPr>
      <w:r>
        <w:separator/>
      </w:r>
    </w:p>
  </w:footnote>
  <w:footnote w:type="continuationSeparator" w:id="0">
    <w:p w14:paraId="5A8535D4" w14:textId="77777777" w:rsidR="00C90418" w:rsidRDefault="00C90418" w:rsidP="0005636A">
      <w:pPr>
        <w:spacing w:after="0" w:line="240" w:lineRule="auto"/>
      </w:pPr>
      <w:r>
        <w:continuationSeparator/>
      </w:r>
    </w:p>
  </w:footnote>
  <w:footnote w:id="1">
    <w:p w14:paraId="46A21F29" w14:textId="45AD7D21" w:rsidR="007D1830" w:rsidRPr="007D1830" w:rsidRDefault="007D1830" w:rsidP="007D1830">
      <w:pPr>
        <w:pStyle w:val="Textodenotaderodap"/>
        <w:jc w:val="both"/>
        <w:rPr>
          <w:rFonts w:ascii="Times New Roman" w:hAnsi="Times New Roman" w:cs="Times New Roman"/>
        </w:rPr>
      </w:pPr>
      <w:r w:rsidRPr="007D1830">
        <w:rPr>
          <w:rStyle w:val="Refdenotaderodap"/>
          <w:rFonts w:ascii="Times New Roman" w:hAnsi="Times New Roman" w:cs="Times New Roman"/>
        </w:rPr>
        <w:footnoteRef/>
      </w:r>
      <w:r w:rsidRPr="007D1830">
        <w:rPr>
          <w:rFonts w:ascii="Times New Roman" w:hAnsi="Times New Roman" w:cs="Times New Roman"/>
        </w:rPr>
        <w:t xml:space="preserve"> </w:t>
      </w:r>
      <w:r w:rsidR="003E7F07">
        <w:rPr>
          <w:rFonts w:ascii="Times New Roman" w:hAnsi="Times New Roman" w:cs="Times New Roman"/>
        </w:rPr>
        <w:t>Segundo Cohen (2023), o</w:t>
      </w:r>
      <w:r w:rsidRPr="007D1830">
        <w:rPr>
          <w:rFonts w:ascii="Times New Roman" w:hAnsi="Times New Roman" w:cs="Times New Roman"/>
          <w:b/>
          <w:bCs/>
        </w:rPr>
        <w:t xml:space="preserve"> princípio da interoperabilidade</w:t>
      </w:r>
      <w:r w:rsidRPr="007D1830">
        <w:rPr>
          <w:rFonts w:ascii="Times New Roman" w:hAnsi="Times New Roman" w:cs="Times New Roman"/>
        </w:rPr>
        <w:t xml:space="preserve"> busca permitir que um usuário final possa, a partir de sua conta, realizar transações com quaisquer arranjos de pagamento. Tal interoperabilidade deve ser assegurada entre os participantes de um mesmo arranjo, garantindo, por exemplo, que os cartões de uma bandeira tenham aceitação em máquinas de quaisquer credenciadoras que operam em ligação com tal bandeira. Deve, igualmente, existir entre diferentes arranjos, de forma que credenciadoras ou estabelecimentos ligados a uma bandeira também aceitem cartões de outras bandeiras.</w:t>
      </w:r>
    </w:p>
  </w:footnote>
  <w:footnote w:id="2">
    <w:p w14:paraId="7855FA90" w14:textId="13C33327" w:rsidR="001400C5" w:rsidRPr="001400C5" w:rsidRDefault="001400C5" w:rsidP="001400C5">
      <w:pPr>
        <w:pStyle w:val="Textodenotaderodap"/>
        <w:jc w:val="both"/>
        <w:rPr>
          <w:rFonts w:ascii="Times New Roman" w:hAnsi="Times New Roman" w:cs="Times New Roman"/>
        </w:rPr>
      </w:pPr>
      <w:r w:rsidRPr="001400C5">
        <w:rPr>
          <w:rStyle w:val="Refdenotaderodap"/>
          <w:rFonts w:ascii="Times New Roman" w:hAnsi="Times New Roman" w:cs="Times New Roman"/>
        </w:rPr>
        <w:footnoteRef/>
      </w:r>
      <w:r w:rsidRPr="001400C5">
        <w:rPr>
          <w:rFonts w:ascii="Times New Roman" w:hAnsi="Times New Roman" w:cs="Times New Roman"/>
        </w:rPr>
        <w:t xml:space="preserve"> Distingue-se da moeda escritural, visto que esta corresponde à moeda que está na conta corrente, a qual encontra-se escriturada nos livros dos bancos e emitida pelas instituições financeiras. Diante disso, a moeda eletrônica está para a conta de pagamento pré-paga, de emissão de moeda eletrônica, ou seja, instituição de pagamento que emite essa moeda, assim como a moeda escritural está para a conta de depósito à vista gerenciada pela instituição financeira que capta.</w:t>
      </w:r>
    </w:p>
  </w:footnote>
  <w:footnote w:id="3">
    <w:p w14:paraId="6EFED5B4" w14:textId="25135E60" w:rsidR="00923A25" w:rsidRPr="00923A25" w:rsidRDefault="00923A25" w:rsidP="00923A25">
      <w:pPr>
        <w:pStyle w:val="Textodenotaderodap"/>
        <w:jc w:val="both"/>
        <w:rPr>
          <w:rFonts w:ascii="Times New Roman" w:hAnsi="Times New Roman" w:cs="Times New Roman"/>
        </w:rPr>
      </w:pPr>
      <w:r w:rsidRPr="00923A25">
        <w:rPr>
          <w:rStyle w:val="Refdenotaderodap"/>
          <w:rFonts w:ascii="Times New Roman" w:hAnsi="Times New Roman" w:cs="Times New Roman"/>
        </w:rPr>
        <w:footnoteRef/>
      </w:r>
      <w:r w:rsidRPr="00923A25">
        <w:rPr>
          <w:rFonts w:ascii="Times New Roman" w:hAnsi="Times New Roman" w:cs="Times New Roman"/>
        </w:rPr>
        <w:t xml:space="preserve"> Art. 12. Os recursos mantidos em contas de pagamento: I - constituem patrimônio separado, que não se confunde com o da instituição de pagamento; II - não respondem direta ou indiretamente por nenhuma obrigação da instituição de pagamento nem podem ser objeto de arresto, sequestro, busca e apreensão ou qualquer outro ato de constrição judicial em função de débitos de responsabilidade da instituição de pagamento; III - não compõem o ativo da instituição de pagamento, para efeito de falência ou liquidação judicial ou extrajudicial; e IV - não podem ser dados em garantia de débitos assumidos pela instituição de pagamento.</w:t>
      </w:r>
    </w:p>
  </w:footnote>
  <w:footnote w:id="4">
    <w:p w14:paraId="3DE90437" w14:textId="1401FA48" w:rsidR="00CA33BE" w:rsidRPr="00CA33BE" w:rsidRDefault="00CA33BE" w:rsidP="00CA33BE">
      <w:pPr>
        <w:pStyle w:val="Textodenotaderodap"/>
        <w:jc w:val="both"/>
        <w:rPr>
          <w:rFonts w:ascii="Times New Roman" w:hAnsi="Times New Roman" w:cs="Times New Roman"/>
        </w:rPr>
      </w:pPr>
      <w:r w:rsidRPr="00CA33BE">
        <w:rPr>
          <w:rStyle w:val="Refdenotaderodap"/>
          <w:rFonts w:ascii="Times New Roman" w:hAnsi="Times New Roman" w:cs="Times New Roman"/>
        </w:rPr>
        <w:footnoteRef/>
      </w:r>
      <w:r w:rsidRPr="00CA33BE">
        <w:rPr>
          <w:rFonts w:ascii="Times New Roman" w:hAnsi="Times New Roman" w:cs="Times New Roman"/>
        </w:rPr>
        <w:t xml:space="preserve"> </w:t>
      </w:r>
      <w:proofErr w:type="spellStart"/>
      <w:r w:rsidRPr="00CA33BE">
        <w:rPr>
          <w:rFonts w:ascii="Times New Roman" w:hAnsi="Times New Roman" w:cs="Times New Roman"/>
        </w:rPr>
        <w:t>i.e</w:t>
      </w:r>
      <w:proofErr w:type="spellEnd"/>
      <w:r w:rsidRPr="00CA33BE">
        <w:rPr>
          <w:rFonts w:ascii="Times New Roman" w:hAnsi="Times New Roman" w:cs="Times New Roman"/>
        </w:rPr>
        <w:t>: Um empresário pode pagar fornecedores de forma imediata, garantindo melhores negociações ao oferecer pagamento à vista e eliminando atrasos que poderiam comprometer a entrega de mercadorias.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C61A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C8FE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C40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B06B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BAD0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3889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3A8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656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A00E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0A7F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15227"/>
    <w:multiLevelType w:val="hybridMultilevel"/>
    <w:tmpl w:val="4AC4B9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BA2549C"/>
    <w:multiLevelType w:val="hybridMultilevel"/>
    <w:tmpl w:val="6E3081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FB1625D"/>
    <w:multiLevelType w:val="hybridMultilevel"/>
    <w:tmpl w:val="C73004B6"/>
    <w:lvl w:ilvl="0" w:tplc="962C98DC">
      <w:start w:val="1"/>
      <w:numFmt w:val="decimal"/>
      <w:lvlText w:val="%1."/>
      <w:lvlJc w:val="left"/>
      <w:pPr>
        <w:ind w:left="1080" w:hanging="360"/>
      </w:pPr>
      <w:rPr>
        <w:rFonts w:hint="default"/>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3BB55277"/>
    <w:multiLevelType w:val="hybridMultilevel"/>
    <w:tmpl w:val="B68A5338"/>
    <w:lvl w:ilvl="0" w:tplc="DD34A5BC">
      <w:start w:val="3"/>
      <w:numFmt w:val="decimal"/>
      <w:lvlText w:val="%1."/>
      <w:lvlJc w:val="left"/>
      <w:pPr>
        <w:ind w:left="720" w:hanging="360"/>
      </w:pPr>
      <w:rPr>
        <w:rFonts w:ascii="Times New Roman" w:eastAsia="Calibri" w:hAnsi="Times New Roman" w:cs="Times New Roman" w:hint="default"/>
        <w:b/>
        <w:bCs/>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CDD0A76"/>
    <w:multiLevelType w:val="multilevel"/>
    <w:tmpl w:val="EBFEFB86"/>
    <w:lvl w:ilvl="0">
      <w:start w:val="1"/>
      <w:numFmt w:val="decimal"/>
      <w:lvlText w:val="%1."/>
      <w:lvlJc w:val="left"/>
      <w:pPr>
        <w:ind w:left="1080" w:hanging="360"/>
      </w:pPr>
    </w:lvl>
    <w:lvl w:ilvl="1">
      <w:start w:val="3"/>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15" w15:restartNumberingAfterBreak="0">
    <w:nsid w:val="593E6B67"/>
    <w:multiLevelType w:val="multilevel"/>
    <w:tmpl w:val="1C6CA5EA"/>
    <w:lvl w:ilvl="0">
      <w:start w:val="3"/>
      <w:numFmt w:val="decimal"/>
      <w:lvlText w:val="%1."/>
      <w:lvlJc w:val="left"/>
      <w:pPr>
        <w:ind w:left="390" w:hanging="39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6" w15:restartNumberingAfterBreak="0">
    <w:nsid w:val="5D4D1B60"/>
    <w:multiLevelType w:val="hybridMultilevel"/>
    <w:tmpl w:val="D71285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C221263"/>
    <w:multiLevelType w:val="multilevel"/>
    <w:tmpl w:val="39C6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4762473">
    <w:abstractNumId w:val="12"/>
  </w:num>
  <w:num w:numId="2" w16cid:durableId="2090468120">
    <w:abstractNumId w:val="14"/>
  </w:num>
  <w:num w:numId="3" w16cid:durableId="1870947589">
    <w:abstractNumId w:val="11"/>
  </w:num>
  <w:num w:numId="4" w16cid:durableId="1800412325">
    <w:abstractNumId w:val="13"/>
  </w:num>
  <w:num w:numId="5" w16cid:durableId="849872201">
    <w:abstractNumId w:val="16"/>
  </w:num>
  <w:num w:numId="6" w16cid:durableId="1917475376">
    <w:abstractNumId w:val="15"/>
  </w:num>
  <w:num w:numId="7" w16cid:durableId="1638296136">
    <w:abstractNumId w:val="10"/>
  </w:num>
  <w:num w:numId="8" w16cid:durableId="32341847">
    <w:abstractNumId w:val="9"/>
  </w:num>
  <w:num w:numId="9" w16cid:durableId="676426895">
    <w:abstractNumId w:val="8"/>
  </w:num>
  <w:num w:numId="10" w16cid:durableId="654726134">
    <w:abstractNumId w:val="7"/>
  </w:num>
  <w:num w:numId="11" w16cid:durableId="351761116">
    <w:abstractNumId w:val="6"/>
  </w:num>
  <w:num w:numId="12" w16cid:durableId="352851764">
    <w:abstractNumId w:val="5"/>
  </w:num>
  <w:num w:numId="13" w16cid:durableId="1544057944">
    <w:abstractNumId w:val="4"/>
  </w:num>
  <w:num w:numId="14" w16cid:durableId="474840843">
    <w:abstractNumId w:val="3"/>
  </w:num>
  <w:num w:numId="15" w16cid:durableId="707728676">
    <w:abstractNumId w:val="2"/>
  </w:num>
  <w:num w:numId="16" w16cid:durableId="1493060627">
    <w:abstractNumId w:val="1"/>
  </w:num>
  <w:num w:numId="17" w16cid:durableId="213808430">
    <w:abstractNumId w:val="0"/>
  </w:num>
  <w:num w:numId="18" w16cid:durableId="747462877">
    <w:abstractNumId w:val="8"/>
  </w:num>
  <w:num w:numId="19" w16cid:durableId="646594596">
    <w:abstractNumId w:val="3"/>
  </w:num>
  <w:num w:numId="20" w16cid:durableId="74909301">
    <w:abstractNumId w:val="2"/>
  </w:num>
  <w:num w:numId="21" w16cid:durableId="467360545">
    <w:abstractNumId w:val="1"/>
  </w:num>
  <w:num w:numId="22" w16cid:durableId="457727760">
    <w:abstractNumId w:val="0"/>
  </w:num>
  <w:num w:numId="23" w16cid:durableId="8905309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972"/>
    <w:rsid w:val="00004F76"/>
    <w:rsid w:val="00005E92"/>
    <w:rsid w:val="000344E0"/>
    <w:rsid w:val="000356CD"/>
    <w:rsid w:val="00037E61"/>
    <w:rsid w:val="0005636A"/>
    <w:rsid w:val="00063FD5"/>
    <w:rsid w:val="00071183"/>
    <w:rsid w:val="000A2CB4"/>
    <w:rsid w:val="000B0AD1"/>
    <w:rsid w:val="000D37A3"/>
    <w:rsid w:val="000E29F4"/>
    <w:rsid w:val="000E6AE8"/>
    <w:rsid w:val="000F7CF4"/>
    <w:rsid w:val="00107524"/>
    <w:rsid w:val="001400C5"/>
    <w:rsid w:val="00151ECD"/>
    <w:rsid w:val="001628F3"/>
    <w:rsid w:val="001759B8"/>
    <w:rsid w:val="001A39D7"/>
    <w:rsid w:val="001A41C1"/>
    <w:rsid w:val="001B25E0"/>
    <w:rsid w:val="001D3AEB"/>
    <w:rsid w:val="001E6B8B"/>
    <w:rsid w:val="00227ACB"/>
    <w:rsid w:val="00240457"/>
    <w:rsid w:val="00256018"/>
    <w:rsid w:val="002726DB"/>
    <w:rsid w:val="0028054C"/>
    <w:rsid w:val="00286FFC"/>
    <w:rsid w:val="002937D7"/>
    <w:rsid w:val="002939B7"/>
    <w:rsid w:val="002B1E10"/>
    <w:rsid w:val="002B2D37"/>
    <w:rsid w:val="002B3EA1"/>
    <w:rsid w:val="00317884"/>
    <w:rsid w:val="0033355B"/>
    <w:rsid w:val="00341D3A"/>
    <w:rsid w:val="00347B8D"/>
    <w:rsid w:val="00356B6D"/>
    <w:rsid w:val="003804BF"/>
    <w:rsid w:val="00383733"/>
    <w:rsid w:val="003950DA"/>
    <w:rsid w:val="003A6242"/>
    <w:rsid w:val="003B3CA2"/>
    <w:rsid w:val="003B7506"/>
    <w:rsid w:val="003C5014"/>
    <w:rsid w:val="003E7F07"/>
    <w:rsid w:val="004050D0"/>
    <w:rsid w:val="00406D61"/>
    <w:rsid w:val="00417FC5"/>
    <w:rsid w:val="00421A91"/>
    <w:rsid w:val="00422F19"/>
    <w:rsid w:val="004230EC"/>
    <w:rsid w:val="004413EA"/>
    <w:rsid w:val="004619FD"/>
    <w:rsid w:val="004659A0"/>
    <w:rsid w:val="004774A9"/>
    <w:rsid w:val="004823D0"/>
    <w:rsid w:val="00495E3E"/>
    <w:rsid w:val="004C312A"/>
    <w:rsid w:val="004C6D52"/>
    <w:rsid w:val="004D1230"/>
    <w:rsid w:val="004D2803"/>
    <w:rsid w:val="004E0219"/>
    <w:rsid w:val="004E06F3"/>
    <w:rsid w:val="0050577F"/>
    <w:rsid w:val="00510A9A"/>
    <w:rsid w:val="00511D05"/>
    <w:rsid w:val="0051230A"/>
    <w:rsid w:val="00516EAE"/>
    <w:rsid w:val="00536618"/>
    <w:rsid w:val="00570845"/>
    <w:rsid w:val="005771ED"/>
    <w:rsid w:val="005A3E8B"/>
    <w:rsid w:val="005C27E5"/>
    <w:rsid w:val="005C69E0"/>
    <w:rsid w:val="005E18DC"/>
    <w:rsid w:val="005E6AAD"/>
    <w:rsid w:val="005F0C57"/>
    <w:rsid w:val="00606C08"/>
    <w:rsid w:val="006123F9"/>
    <w:rsid w:val="00656115"/>
    <w:rsid w:val="00660FC5"/>
    <w:rsid w:val="006729F2"/>
    <w:rsid w:val="006A0897"/>
    <w:rsid w:val="006D0403"/>
    <w:rsid w:val="006F563C"/>
    <w:rsid w:val="00711FC3"/>
    <w:rsid w:val="00730916"/>
    <w:rsid w:val="00735449"/>
    <w:rsid w:val="00736DE8"/>
    <w:rsid w:val="0075086C"/>
    <w:rsid w:val="00752745"/>
    <w:rsid w:val="00771037"/>
    <w:rsid w:val="0078311F"/>
    <w:rsid w:val="00790F22"/>
    <w:rsid w:val="007C5014"/>
    <w:rsid w:val="007C690B"/>
    <w:rsid w:val="007D0F21"/>
    <w:rsid w:val="007D1830"/>
    <w:rsid w:val="007D7020"/>
    <w:rsid w:val="007D7584"/>
    <w:rsid w:val="00826CDC"/>
    <w:rsid w:val="00843A16"/>
    <w:rsid w:val="0086497C"/>
    <w:rsid w:val="008A3E16"/>
    <w:rsid w:val="008A7972"/>
    <w:rsid w:val="008C4FA3"/>
    <w:rsid w:val="008F4696"/>
    <w:rsid w:val="008F60F5"/>
    <w:rsid w:val="0090722C"/>
    <w:rsid w:val="00916FDB"/>
    <w:rsid w:val="00923A25"/>
    <w:rsid w:val="00962490"/>
    <w:rsid w:val="0098255E"/>
    <w:rsid w:val="00983FEE"/>
    <w:rsid w:val="00994BBF"/>
    <w:rsid w:val="009C5701"/>
    <w:rsid w:val="009D16B6"/>
    <w:rsid w:val="009F32A8"/>
    <w:rsid w:val="00A1097F"/>
    <w:rsid w:val="00A350C9"/>
    <w:rsid w:val="00A474F7"/>
    <w:rsid w:val="00A62E48"/>
    <w:rsid w:val="00A6770C"/>
    <w:rsid w:val="00A813B3"/>
    <w:rsid w:val="00A8451E"/>
    <w:rsid w:val="00A84520"/>
    <w:rsid w:val="00AB7848"/>
    <w:rsid w:val="00AD676E"/>
    <w:rsid w:val="00AF59CF"/>
    <w:rsid w:val="00B14222"/>
    <w:rsid w:val="00B35955"/>
    <w:rsid w:val="00B42DC9"/>
    <w:rsid w:val="00B72BC8"/>
    <w:rsid w:val="00B76070"/>
    <w:rsid w:val="00B80943"/>
    <w:rsid w:val="00BC7905"/>
    <w:rsid w:val="00BD29A7"/>
    <w:rsid w:val="00BE375B"/>
    <w:rsid w:val="00C03002"/>
    <w:rsid w:val="00C13CFA"/>
    <w:rsid w:val="00C320EC"/>
    <w:rsid w:val="00C4254C"/>
    <w:rsid w:val="00C4679A"/>
    <w:rsid w:val="00C513DF"/>
    <w:rsid w:val="00C51CA8"/>
    <w:rsid w:val="00C530F9"/>
    <w:rsid w:val="00C61B0C"/>
    <w:rsid w:val="00C662C0"/>
    <w:rsid w:val="00C835B2"/>
    <w:rsid w:val="00C90418"/>
    <w:rsid w:val="00C91CAD"/>
    <w:rsid w:val="00CA0BDA"/>
    <w:rsid w:val="00CA33BE"/>
    <w:rsid w:val="00CB3887"/>
    <w:rsid w:val="00CD246D"/>
    <w:rsid w:val="00CD40FC"/>
    <w:rsid w:val="00CD608C"/>
    <w:rsid w:val="00CE4E45"/>
    <w:rsid w:val="00CF7AC3"/>
    <w:rsid w:val="00D208FE"/>
    <w:rsid w:val="00D216E9"/>
    <w:rsid w:val="00D22A90"/>
    <w:rsid w:val="00D23FD5"/>
    <w:rsid w:val="00D278F1"/>
    <w:rsid w:val="00D3154B"/>
    <w:rsid w:val="00D34A9A"/>
    <w:rsid w:val="00D36582"/>
    <w:rsid w:val="00D46B95"/>
    <w:rsid w:val="00D60F9F"/>
    <w:rsid w:val="00D61DCB"/>
    <w:rsid w:val="00D637C8"/>
    <w:rsid w:val="00D74266"/>
    <w:rsid w:val="00D817B1"/>
    <w:rsid w:val="00D8628C"/>
    <w:rsid w:val="00DA01BC"/>
    <w:rsid w:val="00DA6F04"/>
    <w:rsid w:val="00DC6FB5"/>
    <w:rsid w:val="00DF6513"/>
    <w:rsid w:val="00E128C5"/>
    <w:rsid w:val="00E24627"/>
    <w:rsid w:val="00E31A12"/>
    <w:rsid w:val="00E5471F"/>
    <w:rsid w:val="00E6638F"/>
    <w:rsid w:val="00E66C76"/>
    <w:rsid w:val="00E7579B"/>
    <w:rsid w:val="00EC322D"/>
    <w:rsid w:val="00EE7254"/>
    <w:rsid w:val="00F03BF4"/>
    <w:rsid w:val="00F13AF9"/>
    <w:rsid w:val="00F43DCD"/>
    <w:rsid w:val="00F45239"/>
    <w:rsid w:val="00F71E54"/>
    <w:rsid w:val="00F843B7"/>
    <w:rsid w:val="00F92E13"/>
    <w:rsid w:val="00F94A22"/>
    <w:rsid w:val="00F97F7B"/>
    <w:rsid w:val="00FA6F84"/>
    <w:rsid w:val="00FD35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FCB94"/>
  <w15:chartTrackingRefBased/>
  <w15:docId w15:val="{CF07A3A5-DF1B-48E0-93E7-49642BE7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E48"/>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A79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8A79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8A79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A79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A79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A79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A79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A79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A797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A797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8A797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8A797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A797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A797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A797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A797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A797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A7972"/>
    <w:rPr>
      <w:rFonts w:eastAsiaTheme="majorEastAsia" w:cstheme="majorBidi"/>
      <w:color w:val="272727" w:themeColor="text1" w:themeTint="D8"/>
    </w:rPr>
  </w:style>
  <w:style w:type="paragraph" w:styleId="Ttulo">
    <w:name w:val="Title"/>
    <w:basedOn w:val="Normal"/>
    <w:next w:val="Normal"/>
    <w:link w:val="TtuloChar"/>
    <w:uiPriority w:val="10"/>
    <w:qFormat/>
    <w:rsid w:val="008A79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A79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A797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A797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A7972"/>
    <w:pPr>
      <w:spacing w:before="160"/>
      <w:jc w:val="center"/>
    </w:pPr>
    <w:rPr>
      <w:i/>
      <w:iCs/>
      <w:color w:val="404040" w:themeColor="text1" w:themeTint="BF"/>
    </w:rPr>
  </w:style>
  <w:style w:type="character" w:customStyle="1" w:styleId="CitaoChar">
    <w:name w:val="Citação Char"/>
    <w:basedOn w:val="Fontepargpadro"/>
    <w:link w:val="Citao"/>
    <w:uiPriority w:val="29"/>
    <w:rsid w:val="008A7972"/>
    <w:rPr>
      <w:i/>
      <w:iCs/>
      <w:color w:val="404040" w:themeColor="text1" w:themeTint="BF"/>
    </w:rPr>
  </w:style>
  <w:style w:type="paragraph" w:styleId="PargrafodaLista">
    <w:name w:val="List Paragraph"/>
    <w:basedOn w:val="Normal"/>
    <w:uiPriority w:val="34"/>
    <w:qFormat/>
    <w:rsid w:val="008A7972"/>
    <w:pPr>
      <w:ind w:left="720"/>
      <w:contextualSpacing/>
    </w:pPr>
  </w:style>
  <w:style w:type="character" w:styleId="nfaseIntensa">
    <w:name w:val="Intense Emphasis"/>
    <w:basedOn w:val="Fontepargpadro"/>
    <w:uiPriority w:val="21"/>
    <w:qFormat/>
    <w:rsid w:val="008A7972"/>
    <w:rPr>
      <w:i/>
      <w:iCs/>
      <w:color w:val="0F4761" w:themeColor="accent1" w:themeShade="BF"/>
    </w:rPr>
  </w:style>
  <w:style w:type="paragraph" w:styleId="CitaoIntensa">
    <w:name w:val="Intense Quote"/>
    <w:basedOn w:val="Normal"/>
    <w:next w:val="Normal"/>
    <w:link w:val="CitaoIntensaChar"/>
    <w:uiPriority w:val="30"/>
    <w:qFormat/>
    <w:rsid w:val="008A79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A7972"/>
    <w:rPr>
      <w:i/>
      <w:iCs/>
      <w:color w:val="0F4761" w:themeColor="accent1" w:themeShade="BF"/>
    </w:rPr>
  </w:style>
  <w:style w:type="character" w:styleId="RefernciaIntensa">
    <w:name w:val="Intense Reference"/>
    <w:basedOn w:val="Fontepargpadro"/>
    <w:uiPriority w:val="32"/>
    <w:qFormat/>
    <w:rsid w:val="008A7972"/>
    <w:rPr>
      <w:b/>
      <w:bCs/>
      <w:smallCaps/>
      <w:color w:val="0F4761" w:themeColor="accent1" w:themeShade="BF"/>
      <w:spacing w:val="5"/>
    </w:rPr>
  </w:style>
  <w:style w:type="character" w:styleId="Hyperlink">
    <w:name w:val="Hyperlink"/>
    <w:basedOn w:val="Fontepargpadro"/>
    <w:uiPriority w:val="99"/>
    <w:unhideWhenUsed/>
    <w:rsid w:val="008A7972"/>
    <w:rPr>
      <w:color w:val="467886" w:themeColor="hyperlink"/>
      <w:u w:val="single"/>
    </w:rPr>
  </w:style>
  <w:style w:type="paragraph" w:styleId="CabealhodoSumrio">
    <w:name w:val="TOC Heading"/>
    <w:basedOn w:val="Ttulo1"/>
    <w:next w:val="Normal"/>
    <w:uiPriority w:val="39"/>
    <w:unhideWhenUsed/>
    <w:qFormat/>
    <w:rsid w:val="008A7972"/>
    <w:pPr>
      <w:spacing w:before="240" w:after="0"/>
      <w:outlineLvl w:val="9"/>
    </w:pPr>
    <w:rPr>
      <w:sz w:val="32"/>
      <w:szCs w:val="32"/>
    </w:rPr>
  </w:style>
  <w:style w:type="paragraph" w:styleId="Sumrio2">
    <w:name w:val="toc 2"/>
    <w:basedOn w:val="Normal"/>
    <w:next w:val="Normal"/>
    <w:autoRedefine/>
    <w:uiPriority w:val="39"/>
    <w:unhideWhenUsed/>
    <w:rsid w:val="008A7972"/>
    <w:pPr>
      <w:spacing w:after="100"/>
      <w:ind w:left="220"/>
    </w:pPr>
    <w:rPr>
      <w:rFonts w:asciiTheme="minorHAnsi" w:eastAsiaTheme="minorEastAsia" w:hAnsiTheme="minorHAnsi" w:cs="Times New Roman"/>
    </w:rPr>
  </w:style>
  <w:style w:type="paragraph" w:styleId="Sumrio1">
    <w:name w:val="toc 1"/>
    <w:basedOn w:val="Normal"/>
    <w:next w:val="Normal"/>
    <w:autoRedefine/>
    <w:uiPriority w:val="39"/>
    <w:unhideWhenUsed/>
    <w:rsid w:val="008A7972"/>
    <w:pPr>
      <w:spacing w:after="100"/>
    </w:pPr>
    <w:rPr>
      <w:rFonts w:asciiTheme="minorHAnsi" w:eastAsiaTheme="minorEastAsia" w:hAnsiTheme="minorHAnsi" w:cs="Times New Roman"/>
    </w:rPr>
  </w:style>
  <w:style w:type="paragraph" w:styleId="Sumrio3">
    <w:name w:val="toc 3"/>
    <w:basedOn w:val="Normal"/>
    <w:next w:val="Normal"/>
    <w:autoRedefine/>
    <w:uiPriority w:val="39"/>
    <w:unhideWhenUsed/>
    <w:rsid w:val="008A7972"/>
    <w:pPr>
      <w:spacing w:after="100"/>
      <w:ind w:left="440"/>
    </w:pPr>
    <w:rPr>
      <w:rFonts w:asciiTheme="minorHAnsi" w:eastAsiaTheme="minorEastAsia" w:hAnsiTheme="minorHAnsi" w:cs="Times New Roman"/>
    </w:rPr>
  </w:style>
  <w:style w:type="character" w:styleId="Refdecomentrio">
    <w:name w:val="annotation reference"/>
    <w:basedOn w:val="Fontepargpadro"/>
    <w:uiPriority w:val="99"/>
    <w:semiHidden/>
    <w:unhideWhenUsed/>
    <w:rsid w:val="00B80943"/>
    <w:rPr>
      <w:sz w:val="16"/>
      <w:szCs w:val="16"/>
    </w:rPr>
  </w:style>
  <w:style w:type="paragraph" w:styleId="Textodecomentrio">
    <w:name w:val="annotation text"/>
    <w:basedOn w:val="Normal"/>
    <w:link w:val="TextodecomentrioChar"/>
    <w:uiPriority w:val="99"/>
    <w:unhideWhenUsed/>
    <w:rsid w:val="00B80943"/>
    <w:pPr>
      <w:spacing w:line="240" w:lineRule="auto"/>
    </w:pPr>
    <w:rPr>
      <w:sz w:val="20"/>
      <w:szCs w:val="20"/>
    </w:rPr>
  </w:style>
  <w:style w:type="character" w:customStyle="1" w:styleId="TextodecomentrioChar">
    <w:name w:val="Texto de comentário Char"/>
    <w:basedOn w:val="Fontepargpadro"/>
    <w:link w:val="Textodecomentrio"/>
    <w:uiPriority w:val="99"/>
    <w:rsid w:val="00B80943"/>
    <w:rPr>
      <w:rFonts w:ascii="Calibri" w:eastAsia="Calibri" w:hAnsi="Calibri" w:cs="Calibri"/>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B80943"/>
    <w:rPr>
      <w:b/>
      <w:bCs/>
    </w:rPr>
  </w:style>
  <w:style w:type="character" w:customStyle="1" w:styleId="AssuntodocomentrioChar">
    <w:name w:val="Assunto do comentário Char"/>
    <w:basedOn w:val="TextodecomentrioChar"/>
    <w:link w:val="Assuntodocomentrio"/>
    <w:uiPriority w:val="99"/>
    <w:semiHidden/>
    <w:rsid w:val="00B80943"/>
    <w:rPr>
      <w:rFonts w:ascii="Calibri" w:eastAsia="Calibri" w:hAnsi="Calibri" w:cs="Calibri"/>
      <w:b/>
      <w:bCs/>
      <w:kern w:val="0"/>
      <w:sz w:val="20"/>
      <w:szCs w:val="20"/>
      <w:lang w:eastAsia="pt-BR"/>
      <w14:ligatures w14:val="none"/>
    </w:rPr>
  </w:style>
  <w:style w:type="paragraph" w:styleId="NormalWeb">
    <w:name w:val="Normal (Web)"/>
    <w:basedOn w:val="Normal"/>
    <w:uiPriority w:val="99"/>
    <w:semiHidden/>
    <w:unhideWhenUsed/>
    <w:rsid w:val="00C662C0"/>
    <w:rPr>
      <w:rFonts w:ascii="Times New Roman" w:hAnsi="Times New Roman" w:cs="Times New Roman"/>
      <w:sz w:val="24"/>
      <w:szCs w:val="24"/>
    </w:rPr>
  </w:style>
  <w:style w:type="paragraph" w:styleId="Cabealho">
    <w:name w:val="header"/>
    <w:basedOn w:val="Normal"/>
    <w:link w:val="CabealhoChar"/>
    <w:uiPriority w:val="99"/>
    <w:unhideWhenUsed/>
    <w:rsid w:val="0005636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636A"/>
    <w:rPr>
      <w:rFonts w:ascii="Calibri" w:eastAsia="Calibri" w:hAnsi="Calibri" w:cs="Calibri"/>
      <w:kern w:val="0"/>
      <w:sz w:val="22"/>
      <w:szCs w:val="22"/>
      <w:lang w:eastAsia="pt-BR"/>
      <w14:ligatures w14:val="none"/>
    </w:rPr>
  </w:style>
  <w:style w:type="paragraph" w:styleId="Rodap">
    <w:name w:val="footer"/>
    <w:basedOn w:val="Normal"/>
    <w:link w:val="RodapChar"/>
    <w:uiPriority w:val="99"/>
    <w:unhideWhenUsed/>
    <w:rsid w:val="0005636A"/>
    <w:pPr>
      <w:tabs>
        <w:tab w:val="center" w:pos="4252"/>
        <w:tab w:val="right" w:pos="8504"/>
      </w:tabs>
      <w:spacing w:after="0" w:line="240" w:lineRule="auto"/>
    </w:pPr>
  </w:style>
  <w:style w:type="character" w:customStyle="1" w:styleId="RodapChar">
    <w:name w:val="Rodapé Char"/>
    <w:basedOn w:val="Fontepargpadro"/>
    <w:link w:val="Rodap"/>
    <w:uiPriority w:val="99"/>
    <w:rsid w:val="0005636A"/>
    <w:rPr>
      <w:rFonts w:ascii="Calibri" w:eastAsia="Calibri" w:hAnsi="Calibri" w:cs="Calibri"/>
      <w:kern w:val="0"/>
      <w:sz w:val="22"/>
      <w:szCs w:val="22"/>
      <w:lang w:eastAsia="pt-BR"/>
      <w14:ligatures w14:val="none"/>
    </w:rPr>
  </w:style>
  <w:style w:type="paragraph" w:styleId="Textodenotaderodap">
    <w:name w:val="footnote text"/>
    <w:basedOn w:val="Normal"/>
    <w:link w:val="TextodenotaderodapChar"/>
    <w:uiPriority w:val="99"/>
    <w:semiHidden/>
    <w:unhideWhenUsed/>
    <w:rsid w:val="007D183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D1830"/>
    <w:rPr>
      <w:rFonts w:ascii="Calibri" w:eastAsia="Calibri" w:hAnsi="Calibri" w:cs="Calibri"/>
      <w:kern w:val="0"/>
      <w:sz w:val="20"/>
      <w:szCs w:val="20"/>
      <w:lang w:eastAsia="pt-BR"/>
      <w14:ligatures w14:val="none"/>
    </w:rPr>
  </w:style>
  <w:style w:type="character" w:styleId="Refdenotaderodap">
    <w:name w:val="footnote reference"/>
    <w:basedOn w:val="Fontepargpadro"/>
    <w:uiPriority w:val="99"/>
    <w:semiHidden/>
    <w:unhideWhenUsed/>
    <w:rsid w:val="007D1830"/>
    <w:rPr>
      <w:vertAlign w:val="superscript"/>
    </w:rPr>
  </w:style>
  <w:style w:type="character" w:styleId="MenoPendente">
    <w:name w:val="Unresolved Mention"/>
    <w:basedOn w:val="Fontepargpadro"/>
    <w:uiPriority w:val="99"/>
    <w:semiHidden/>
    <w:unhideWhenUsed/>
    <w:rsid w:val="00FA6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51580">
      <w:bodyDiv w:val="1"/>
      <w:marLeft w:val="0"/>
      <w:marRight w:val="0"/>
      <w:marTop w:val="0"/>
      <w:marBottom w:val="0"/>
      <w:divBdr>
        <w:top w:val="none" w:sz="0" w:space="0" w:color="auto"/>
        <w:left w:val="none" w:sz="0" w:space="0" w:color="auto"/>
        <w:bottom w:val="none" w:sz="0" w:space="0" w:color="auto"/>
        <w:right w:val="none" w:sz="0" w:space="0" w:color="auto"/>
      </w:divBdr>
    </w:div>
    <w:div w:id="273904744">
      <w:bodyDiv w:val="1"/>
      <w:marLeft w:val="0"/>
      <w:marRight w:val="0"/>
      <w:marTop w:val="0"/>
      <w:marBottom w:val="0"/>
      <w:divBdr>
        <w:top w:val="none" w:sz="0" w:space="0" w:color="auto"/>
        <w:left w:val="none" w:sz="0" w:space="0" w:color="auto"/>
        <w:bottom w:val="none" w:sz="0" w:space="0" w:color="auto"/>
        <w:right w:val="none" w:sz="0" w:space="0" w:color="auto"/>
      </w:divBdr>
    </w:div>
    <w:div w:id="486023006">
      <w:bodyDiv w:val="1"/>
      <w:marLeft w:val="0"/>
      <w:marRight w:val="0"/>
      <w:marTop w:val="0"/>
      <w:marBottom w:val="0"/>
      <w:divBdr>
        <w:top w:val="none" w:sz="0" w:space="0" w:color="auto"/>
        <w:left w:val="none" w:sz="0" w:space="0" w:color="auto"/>
        <w:bottom w:val="none" w:sz="0" w:space="0" w:color="auto"/>
        <w:right w:val="none" w:sz="0" w:space="0" w:color="auto"/>
      </w:divBdr>
    </w:div>
    <w:div w:id="522935921">
      <w:bodyDiv w:val="1"/>
      <w:marLeft w:val="0"/>
      <w:marRight w:val="0"/>
      <w:marTop w:val="0"/>
      <w:marBottom w:val="0"/>
      <w:divBdr>
        <w:top w:val="none" w:sz="0" w:space="0" w:color="auto"/>
        <w:left w:val="none" w:sz="0" w:space="0" w:color="auto"/>
        <w:bottom w:val="none" w:sz="0" w:space="0" w:color="auto"/>
        <w:right w:val="none" w:sz="0" w:space="0" w:color="auto"/>
      </w:divBdr>
    </w:div>
    <w:div w:id="571353665">
      <w:bodyDiv w:val="1"/>
      <w:marLeft w:val="0"/>
      <w:marRight w:val="0"/>
      <w:marTop w:val="0"/>
      <w:marBottom w:val="0"/>
      <w:divBdr>
        <w:top w:val="none" w:sz="0" w:space="0" w:color="auto"/>
        <w:left w:val="none" w:sz="0" w:space="0" w:color="auto"/>
        <w:bottom w:val="none" w:sz="0" w:space="0" w:color="auto"/>
        <w:right w:val="none" w:sz="0" w:space="0" w:color="auto"/>
      </w:divBdr>
    </w:div>
    <w:div w:id="599602951">
      <w:bodyDiv w:val="1"/>
      <w:marLeft w:val="0"/>
      <w:marRight w:val="0"/>
      <w:marTop w:val="0"/>
      <w:marBottom w:val="0"/>
      <w:divBdr>
        <w:top w:val="none" w:sz="0" w:space="0" w:color="auto"/>
        <w:left w:val="none" w:sz="0" w:space="0" w:color="auto"/>
        <w:bottom w:val="none" w:sz="0" w:space="0" w:color="auto"/>
        <w:right w:val="none" w:sz="0" w:space="0" w:color="auto"/>
      </w:divBdr>
    </w:div>
    <w:div w:id="935404725">
      <w:bodyDiv w:val="1"/>
      <w:marLeft w:val="0"/>
      <w:marRight w:val="0"/>
      <w:marTop w:val="0"/>
      <w:marBottom w:val="0"/>
      <w:divBdr>
        <w:top w:val="none" w:sz="0" w:space="0" w:color="auto"/>
        <w:left w:val="none" w:sz="0" w:space="0" w:color="auto"/>
        <w:bottom w:val="none" w:sz="0" w:space="0" w:color="auto"/>
        <w:right w:val="none" w:sz="0" w:space="0" w:color="auto"/>
      </w:divBdr>
    </w:div>
    <w:div w:id="1001662879">
      <w:bodyDiv w:val="1"/>
      <w:marLeft w:val="0"/>
      <w:marRight w:val="0"/>
      <w:marTop w:val="0"/>
      <w:marBottom w:val="0"/>
      <w:divBdr>
        <w:top w:val="none" w:sz="0" w:space="0" w:color="auto"/>
        <w:left w:val="none" w:sz="0" w:space="0" w:color="auto"/>
        <w:bottom w:val="none" w:sz="0" w:space="0" w:color="auto"/>
        <w:right w:val="none" w:sz="0" w:space="0" w:color="auto"/>
      </w:divBdr>
    </w:div>
    <w:div w:id="1033120355">
      <w:bodyDiv w:val="1"/>
      <w:marLeft w:val="0"/>
      <w:marRight w:val="0"/>
      <w:marTop w:val="0"/>
      <w:marBottom w:val="0"/>
      <w:divBdr>
        <w:top w:val="none" w:sz="0" w:space="0" w:color="auto"/>
        <w:left w:val="none" w:sz="0" w:space="0" w:color="auto"/>
        <w:bottom w:val="none" w:sz="0" w:space="0" w:color="auto"/>
        <w:right w:val="none" w:sz="0" w:space="0" w:color="auto"/>
      </w:divBdr>
    </w:div>
    <w:div w:id="1317879295">
      <w:bodyDiv w:val="1"/>
      <w:marLeft w:val="0"/>
      <w:marRight w:val="0"/>
      <w:marTop w:val="0"/>
      <w:marBottom w:val="0"/>
      <w:divBdr>
        <w:top w:val="none" w:sz="0" w:space="0" w:color="auto"/>
        <w:left w:val="none" w:sz="0" w:space="0" w:color="auto"/>
        <w:bottom w:val="none" w:sz="0" w:space="0" w:color="auto"/>
        <w:right w:val="none" w:sz="0" w:space="0" w:color="auto"/>
      </w:divBdr>
    </w:div>
    <w:div w:id="1418862098">
      <w:bodyDiv w:val="1"/>
      <w:marLeft w:val="0"/>
      <w:marRight w:val="0"/>
      <w:marTop w:val="0"/>
      <w:marBottom w:val="0"/>
      <w:divBdr>
        <w:top w:val="none" w:sz="0" w:space="0" w:color="auto"/>
        <w:left w:val="none" w:sz="0" w:space="0" w:color="auto"/>
        <w:bottom w:val="none" w:sz="0" w:space="0" w:color="auto"/>
        <w:right w:val="none" w:sz="0" w:space="0" w:color="auto"/>
      </w:divBdr>
    </w:div>
    <w:div w:id="1423184377">
      <w:bodyDiv w:val="1"/>
      <w:marLeft w:val="0"/>
      <w:marRight w:val="0"/>
      <w:marTop w:val="0"/>
      <w:marBottom w:val="0"/>
      <w:divBdr>
        <w:top w:val="none" w:sz="0" w:space="0" w:color="auto"/>
        <w:left w:val="none" w:sz="0" w:space="0" w:color="auto"/>
        <w:bottom w:val="none" w:sz="0" w:space="0" w:color="auto"/>
        <w:right w:val="none" w:sz="0" w:space="0" w:color="auto"/>
      </w:divBdr>
    </w:div>
    <w:div w:id="1441337038">
      <w:bodyDiv w:val="1"/>
      <w:marLeft w:val="0"/>
      <w:marRight w:val="0"/>
      <w:marTop w:val="0"/>
      <w:marBottom w:val="0"/>
      <w:divBdr>
        <w:top w:val="none" w:sz="0" w:space="0" w:color="auto"/>
        <w:left w:val="none" w:sz="0" w:space="0" w:color="auto"/>
        <w:bottom w:val="none" w:sz="0" w:space="0" w:color="auto"/>
        <w:right w:val="none" w:sz="0" w:space="0" w:color="auto"/>
      </w:divBdr>
    </w:div>
    <w:div w:id="1528907403">
      <w:bodyDiv w:val="1"/>
      <w:marLeft w:val="0"/>
      <w:marRight w:val="0"/>
      <w:marTop w:val="0"/>
      <w:marBottom w:val="0"/>
      <w:divBdr>
        <w:top w:val="none" w:sz="0" w:space="0" w:color="auto"/>
        <w:left w:val="none" w:sz="0" w:space="0" w:color="auto"/>
        <w:bottom w:val="none" w:sz="0" w:space="0" w:color="auto"/>
        <w:right w:val="none" w:sz="0" w:space="0" w:color="auto"/>
      </w:divBdr>
    </w:div>
    <w:div w:id="1560632702">
      <w:bodyDiv w:val="1"/>
      <w:marLeft w:val="0"/>
      <w:marRight w:val="0"/>
      <w:marTop w:val="0"/>
      <w:marBottom w:val="0"/>
      <w:divBdr>
        <w:top w:val="none" w:sz="0" w:space="0" w:color="auto"/>
        <w:left w:val="none" w:sz="0" w:space="0" w:color="auto"/>
        <w:bottom w:val="none" w:sz="0" w:space="0" w:color="auto"/>
        <w:right w:val="none" w:sz="0" w:space="0" w:color="auto"/>
      </w:divBdr>
    </w:div>
    <w:div w:id="1597592021">
      <w:bodyDiv w:val="1"/>
      <w:marLeft w:val="0"/>
      <w:marRight w:val="0"/>
      <w:marTop w:val="0"/>
      <w:marBottom w:val="0"/>
      <w:divBdr>
        <w:top w:val="none" w:sz="0" w:space="0" w:color="auto"/>
        <w:left w:val="none" w:sz="0" w:space="0" w:color="auto"/>
        <w:bottom w:val="none" w:sz="0" w:space="0" w:color="auto"/>
        <w:right w:val="none" w:sz="0" w:space="0" w:color="auto"/>
      </w:divBdr>
    </w:div>
    <w:div w:id="1604416984">
      <w:bodyDiv w:val="1"/>
      <w:marLeft w:val="0"/>
      <w:marRight w:val="0"/>
      <w:marTop w:val="0"/>
      <w:marBottom w:val="0"/>
      <w:divBdr>
        <w:top w:val="none" w:sz="0" w:space="0" w:color="auto"/>
        <w:left w:val="none" w:sz="0" w:space="0" w:color="auto"/>
        <w:bottom w:val="none" w:sz="0" w:space="0" w:color="auto"/>
        <w:right w:val="none" w:sz="0" w:space="0" w:color="auto"/>
      </w:divBdr>
    </w:div>
    <w:div w:id="1620648950">
      <w:bodyDiv w:val="1"/>
      <w:marLeft w:val="0"/>
      <w:marRight w:val="0"/>
      <w:marTop w:val="0"/>
      <w:marBottom w:val="0"/>
      <w:divBdr>
        <w:top w:val="none" w:sz="0" w:space="0" w:color="auto"/>
        <w:left w:val="none" w:sz="0" w:space="0" w:color="auto"/>
        <w:bottom w:val="none" w:sz="0" w:space="0" w:color="auto"/>
        <w:right w:val="none" w:sz="0" w:space="0" w:color="auto"/>
      </w:divBdr>
    </w:div>
    <w:div w:id="1632200732">
      <w:bodyDiv w:val="1"/>
      <w:marLeft w:val="0"/>
      <w:marRight w:val="0"/>
      <w:marTop w:val="0"/>
      <w:marBottom w:val="0"/>
      <w:divBdr>
        <w:top w:val="none" w:sz="0" w:space="0" w:color="auto"/>
        <w:left w:val="none" w:sz="0" w:space="0" w:color="auto"/>
        <w:bottom w:val="none" w:sz="0" w:space="0" w:color="auto"/>
        <w:right w:val="none" w:sz="0" w:space="0" w:color="auto"/>
      </w:divBdr>
    </w:div>
    <w:div w:id="1666127507">
      <w:bodyDiv w:val="1"/>
      <w:marLeft w:val="0"/>
      <w:marRight w:val="0"/>
      <w:marTop w:val="0"/>
      <w:marBottom w:val="0"/>
      <w:divBdr>
        <w:top w:val="none" w:sz="0" w:space="0" w:color="auto"/>
        <w:left w:val="none" w:sz="0" w:space="0" w:color="auto"/>
        <w:bottom w:val="none" w:sz="0" w:space="0" w:color="auto"/>
        <w:right w:val="none" w:sz="0" w:space="0" w:color="auto"/>
      </w:divBdr>
    </w:div>
    <w:div w:id="1736120621">
      <w:bodyDiv w:val="1"/>
      <w:marLeft w:val="0"/>
      <w:marRight w:val="0"/>
      <w:marTop w:val="0"/>
      <w:marBottom w:val="0"/>
      <w:divBdr>
        <w:top w:val="none" w:sz="0" w:space="0" w:color="auto"/>
        <w:left w:val="none" w:sz="0" w:space="0" w:color="auto"/>
        <w:bottom w:val="none" w:sz="0" w:space="0" w:color="auto"/>
        <w:right w:val="none" w:sz="0" w:space="0" w:color="auto"/>
      </w:divBdr>
    </w:div>
    <w:div w:id="1785731394">
      <w:bodyDiv w:val="1"/>
      <w:marLeft w:val="0"/>
      <w:marRight w:val="0"/>
      <w:marTop w:val="0"/>
      <w:marBottom w:val="0"/>
      <w:divBdr>
        <w:top w:val="none" w:sz="0" w:space="0" w:color="auto"/>
        <w:left w:val="none" w:sz="0" w:space="0" w:color="auto"/>
        <w:bottom w:val="none" w:sz="0" w:space="0" w:color="auto"/>
        <w:right w:val="none" w:sz="0" w:space="0" w:color="auto"/>
      </w:divBdr>
    </w:div>
    <w:div w:id="1802645805">
      <w:bodyDiv w:val="1"/>
      <w:marLeft w:val="0"/>
      <w:marRight w:val="0"/>
      <w:marTop w:val="0"/>
      <w:marBottom w:val="0"/>
      <w:divBdr>
        <w:top w:val="none" w:sz="0" w:space="0" w:color="auto"/>
        <w:left w:val="none" w:sz="0" w:space="0" w:color="auto"/>
        <w:bottom w:val="none" w:sz="0" w:space="0" w:color="auto"/>
        <w:right w:val="none" w:sz="0" w:space="0" w:color="auto"/>
      </w:divBdr>
    </w:div>
    <w:div w:id="18342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b.gov.br/estabilidadefinanceira/spb" TargetMode="External"/><Relationship Id="rId13" Type="http://schemas.openxmlformats.org/officeDocument/2006/relationships/hyperlink" Target="https://cdn-www.bcb.gov.br/conteudo/relatorioinflacao/EstudosEspeciais/EE088_Instituicoes_de_pagamento_e_seus_modelos_de_negoci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cb.gov.br/conteudo/relatorioinflacao/estudosespeciais/ee089_fintechs_de_credito_e_bancos_digitai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b.gov.br/content/publicacoes/boxe_relatorio_de_economia_bancaria/reb2022b7p.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nbima.com.b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bcb.gov.br/estabilidadefinanceira/spb"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22BA0-45D0-4289-B4C0-469D2CC2057C}">
  <ds:schemaRefs>
    <ds:schemaRef ds:uri="http://schemas.openxmlformats.org/officeDocument/2006/bibliography"/>
  </ds:schemaRefs>
</ds:datastoreItem>
</file>

<file path=docMetadata/LabelInfo.xml><?xml version="1.0" encoding="utf-8"?>
<clbl:labelList xmlns:clbl="http://schemas.microsoft.com/office/2020/mipLabelMetadata">
  <clbl:label id="{ea803e51-b7dd-4b01-9f98-6ad769db2115}" enabled="0" method="" siteId="{ea803e51-b7dd-4b01-9f98-6ad769db2115}" removed="1"/>
</clbl:labelList>
</file>

<file path=docProps/app.xml><?xml version="1.0" encoding="utf-8"?>
<Properties xmlns="http://schemas.openxmlformats.org/officeDocument/2006/extended-properties" xmlns:vt="http://schemas.openxmlformats.org/officeDocument/2006/docPropsVTypes">
  <Template>Normal</Template>
  <TotalTime>2</TotalTime>
  <Pages>37</Pages>
  <Words>11032</Words>
  <Characters>59573</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Julia Chimello de Sousa | Stocche Forbes Advogados</dc:creator>
  <cp:keywords/>
  <dc:description/>
  <cp:lastModifiedBy>Maria Julia Chimello de Sousa | Stocche Forbes Advogados</cp:lastModifiedBy>
  <cp:revision>2</cp:revision>
  <cp:lastPrinted>2025-06-20T19:58:00Z</cp:lastPrinted>
  <dcterms:created xsi:type="dcterms:W3CDTF">2025-06-23T19:56:00Z</dcterms:created>
  <dcterms:modified xsi:type="dcterms:W3CDTF">2025-06-23T19:56:00Z</dcterms:modified>
</cp:coreProperties>
</file>